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eastAsia="zh-CN"/>
        </w:rPr>
        <w:t>院内零星维修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院内零星维修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工期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工期：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自签订合同后10个工作日内。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17500.00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元（大写：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壹万柒仟伍佰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6279"/>
      <w:bookmarkStart w:id="2" w:name="_Hlk81505688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昆明市西山区人民医院4楼院务公开处。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" w:eastAsia="楷体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昆明市西山区人民医院4楼院务公开处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" w:eastAsia="楷体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1.昆明市西山区人民医院院内零星维修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预算明细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 xml:space="preserve"> 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21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/>
          <w:lang w:val="en-US" w:eastAsia="zh-CN"/>
        </w:rPr>
      </w:pPr>
    </w:p>
    <w:p>
      <w:pPr>
        <w:ind w:left="0" w:leftChars="0" w:firstLine="0" w:firstLineChars="0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附件1</w:t>
      </w:r>
      <w:bookmarkStart w:id="3" w:name="_GoBack"/>
      <w:bookmarkEnd w:id="3"/>
    </w:p>
    <w:p>
      <w:pPr>
        <w:keepNext w:val="0"/>
        <w:keepLines w:val="0"/>
        <w:pageBreakBefore w:val="0"/>
        <w:tabs>
          <w:tab w:val="left" w:pos="54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院内零星维修采购项目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预算明细表</w:t>
      </w:r>
    </w:p>
    <w:p>
      <w:pPr>
        <w:ind w:left="0" w:leftChars="0" w:firstLine="0" w:firstLineChars="0"/>
        <w:jc w:val="center"/>
        <w:rPr>
          <w:rFonts w:hint="default"/>
          <w:lang w:val="en-US" w:eastAsia="zh-CN"/>
        </w:rPr>
      </w:pPr>
    </w:p>
    <w:tbl>
      <w:tblPr>
        <w:tblStyle w:val="4"/>
        <w:tblW w:w="926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8"/>
        <w:gridCol w:w="2730"/>
        <w:gridCol w:w="675"/>
        <w:gridCol w:w="660"/>
        <w:gridCol w:w="1080"/>
        <w:gridCol w:w="1140"/>
        <w:gridCol w:w="24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预算金额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停车场负一层水沟修复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3000.00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3000.00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混凝土、人工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医疗废物通道出口处台阶改造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2500.00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2500.00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混凝土、人工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住院部入口门槛石更换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3500.00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3500.00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混凝土、人工、天然石材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住院部入口处台阶石材更换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3500.00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3500.00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混凝土、人工、天然石材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洗衣房门口地面维修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2500.00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2500.00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混凝土、人工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8号电梯1楼进出口地面维修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2500.00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2500.00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混凝土、人工、地砖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17500.00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5A3C51"/>
    <w:rsid w:val="0EE73B3A"/>
    <w:rsid w:val="235A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2022-03-21T06:31:00Z</dcterms:created>
  <dc:creator>Administrator</dc:creator>
  <cp:lastModifiedBy>Administrator</cp:lastModifiedBy>
  <dcterms:modified xsi:type="dcterms:W3CDTF">2022-03-21T07:19:57Z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