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  <w:t>昆明市西山区人民医院</w:t>
      </w:r>
    </w:p>
    <w:p>
      <w:pPr>
        <w:spacing w:line="55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  <w:t>2022年强制类和非强制类计量器具检定与校准服务采购项目招标公告</w:t>
      </w:r>
    </w:p>
    <w:p>
      <w:pPr>
        <w:spacing w:line="55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Cs/>
          <w:color w:val="000000" w:themeColor="text1"/>
          <w:sz w:val="44"/>
          <w:szCs w:val="44"/>
        </w:rPr>
      </w:pPr>
    </w:p>
    <w:p>
      <w:pPr>
        <w:spacing w:line="550" w:lineRule="exact"/>
        <w:ind w:firstLine="640"/>
        <w:jc w:val="left"/>
        <w:rPr>
          <w:rFonts w:ascii="黑体" w:hAnsi="黑体" w:eastAsia="黑体" w:cs="方正小标宋简体"/>
          <w:bCs/>
          <w:color w:val="FF0000"/>
          <w:sz w:val="44"/>
          <w:szCs w:val="44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一、项目名称</w:t>
      </w:r>
    </w:p>
    <w:p>
      <w:pPr>
        <w:spacing w:line="550" w:lineRule="exact"/>
        <w:ind w:firstLine="640"/>
        <w:rPr>
          <w:rFonts w:hint="eastAsia" w:ascii="仿宋_GB2312" w:hAnsi="方正粗黑宋简体" w:eastAsia="仿宋_GB2312" w:cs="方正粗黑宋简体"/>
          <w:bCs/>
          <w:sz w:val="32"/>
          <w:szCs w:val="32"/>
          <w:lang w:eastAsia="zh-CN"/>
        </w:rPr>
      </w:pPr>
      <w:r>
        <w:rPr>
          <w:rFonts w:hint="eastAsia" w:ascii="仿宋_GB2312" w:hAnsi="方正小标宋简体" w:eastAsia="仿宋_GB2312" w:cs="方正小标宋简体"/>
          <w:color w:val="000000" w:themeColor="text1"/>
          <w:sz w:val="32"/>
          <w:szCs w:val="32"/>
        </w:rPr>
        <w:t>2022年强制类和非强制类计量器具检定与校准服务采购项目</w:t>
      </w:r>
      <w:r>
        <w:rPr>
          <w:rFonts w:hint="eastAsia" w:ascii="仿宋_GB2312" w:hAnsi="方正小标宋简体" w:eastAsia="仿宋_GB2312" w:cs="方正小标宋简体"/>
          <w:color w:val="000000" w:themeColor="text1"/>
          <w:sz w:val="32"/>
          <w:szCs w:val="32"/>
          <w:lang w:eastAsia="zh-CN"/>
        </w:rPr>
        <w:t>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采购方：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昆明市西山区人民医院；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时间：</w:t>
      </w:r>
      <w:r>
        <w:rPr>
          <w:rFonts w:hint="eastAsia" w:ascii="仿宋_GB2312" w:hAnsi="Times New Roman" w:eastAsia="仿宋_GB2312"/>
          <w:sz w:val="32"/>
          <w:szCs w:val="32"/>
        </w:rPr>
        <w:t>2022年4月7日上午10时；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地点：昆明市西山区人民医院4楼多功能厅。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三、技术参数及要求</w:t>
      </w:r>
    </w:p>
    <w:p>
      <w:pPr>
        <w:spacing w:line="560" w:lineRule="atLeast"/>
        <w:ind w:firstLine="640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技术参数及评标要求详见附件《</w:t>
      </w:r>
      <w:r>
        <w:rPr>
          <w:rFonts w:hint="eastAsia" w:ascii="仿宋_GB2312" w:hAnsi="方正小标宋简体" w:eastAsia="仿宋_GB2312" w:cs="方正小标宋简体"/>
          <w:color w:val="000000" w:themeColor="text1"/>
          <w:sz w:val="32"/>
          <w:szCs w:val="32"/>
        </w:rPr>
        <w:t>2022年强制类和非强制类计量器具检定与校准服务采购项目评分细则</w:t>
      </w:r>
      <w:r>
        <w:rPr>
          <w:rFonts w:hint="eastAsia" w:ascii="仿宋_GB2312" w:hAnsi="仿宋" w:eastAsia="仿宋_GB2312"/>
          <w:sz w:val="32"/>
          <w:szCs w:val="32"/>
        </w:rPr>
        <w:t>》。根据评分细则及要求，评标小组给予综合评分，得分最高者为中标供应商。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四、供货期</w:t>
      </w:r>
    </w:p>
    <w:p>
      <w:pPr>
        <w:spacing w:line="560" w:lineRule="atLeast"/>
        <w:ind w:firstLine="640"/>
        <w:rPr>
          <w:rFonts w:hint="eastAsia" w:ascii="仿宋_GB2312" w:hAnsi="仿宋" w:eastAsia="仿宋_GB2312"/>
          <w:color w:val="000000" w:themeColor="text1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</w:rPr>
        <w:t>签订采购合同后，具体检定时间由双方约定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lang w:eastAsia="zh-CN"/>
        </w:rPr>
        <w:t>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五、采购数量及预算价格</w:t>
      </w:r>
    </w:p>
    <w:p>
      <w:pPr>
        <w:spacing w:line="560" w:lineRule="atLeast"/>
        <w:ind w:firstLine="640"/>
        <w:rPr>
          <w:rFonts w:ascii="楷体_GB2312" w:hAnsi="方正小标宋简体" w:eastAsia="楷体_GB2312" w:cs="方正小标宋简体"/>
          <w:color w:val="000000" w:themeColor="text1"/>
          <w:sz w:val="32"/>
          <w:szCs w:val="32"/>
        </w:rPr>
      </w:pPr>
      <w:r>
        <w:rPr>
          <w:rFonts w:hint="eastAsia" w:ascii="楷体_GB2312" w:hAnsi="宋体" w:eastAsia="楷体_GB2312" w:cs="宋体"/>
          <w:color w:val="000000" w:themeColor="text1"/>
          <w:kern w:val="0"/>
          <w:sz w:val="32"/>
          <w:szCs w:val="32"/>
        </w:rPr>
        <w:t>（一）</w:t>
      </w:r>
      <w:r>
        <w:rPr>
          <w:rFonts w:hint="eastAsia" w:ascii="楷体_GB2312" w:hAnsi="方正小标宋简体" w:eastAsia="楷体_GB2312" w:cs="方正小标宋简体"/>
          <w:color w:val="000000" w:themeColor="text1"/>
          <w:sz w:val="32"/>
          <w:szCs w:val="32"/>
        </w:rPr>
        <w:t>强制类计量器具检定</w:t>
      </w:r>
    </w:p>
    <w:p>
      <w:pPr>
        <w:spacing w:line="560" w:lineRule="atLeast"/>
        <w:ind w:firstLine="800" w:firstLineChars="250"/>
        <w:rPr>
          <w:rFonts w:ascii="仿宋_GB2312" w:hAnsi="方正小标宋简体" w:eastAsia="仿宋_GB2312" w:cs="方正小标宋简体"/>
          <w:color w:val="000000" w:themeColor="text1"/>
          <w:sz w:val="32"/>
          <w:szCs w:val="32"/>
        </w:rPr>
      </w:pPr>
      <w:r>
        <w:rPr>
          <w:rFonts w:hint="eastAsia" w:ascii="仿宋_GB2312" w:hAnsi="方正小标宋简体" w:eastAsia="仿宋_GB2312" w:cs="方正小标宋简体"/>
          <w:color w:val="000000" w:themeColor="text1"/>
          <w:sz w:val="32"/>
          <w:szCs w:val="32"/>
        </w:rPr>
        <w:t>1.数量:1批（以实际检定数量为准）。</w:t>
      </w:r>
    </w:p>
    <w:p>
      <w:pPr>
        <w:spacing w:line="560" w:lineRule="atLeast"/>
        <w:ind w:firstLine="800" w:firstLineChars="250"/>
        <w:rPr>
          <w:rFonts w:ascii="仿宋_GB2312" w:hAnsi="宋体" w:eastAsia="仿宋_GB2312" w:cs="宋体"/>
          <w:color w:val="000000" w:themeColor="text1"/>
          <w:kern w:val="0"/>
          <w:sz w:val="32"/>
          <w:szCs w:val="32"/>
        </w:rPr>
      </w:pPr>
      <w:r>
        <w:rPr>
          <w:rFonts w:hint="eastAsia" w:ascii="仿宋_GB2312" w:hAnsi="方正小标宋简体" w:eastAsia="仿宋_GB2312" w:cs="方正小标宋简体"/>
          <w:color w:val="000000" w:themeColor="text1"/>
          <w:sz w:val="32"/>
          <w:szCs w:val="32"/>
        </w:rPr>
        <w:t>2.预算价格：停征费用。</w:t>
      </w:r>
    </w:p>
    <w:p>
      <w:pPr>
        <w:spacing w:line="560" w:lineRule="atLeast"/>
        <w:ind w:firstLine="640"/>
        <w:rPr>
          <w:rFonts w:ascii="楷体_GB2312" w:hAnsi="方正小标宋简体" w:eastAsia="楷体_GB2312" w:cs="方正小标宋简体"/>
          <w:color w:val="000000" w:themeColor="text1"/>
          <w:sz w:val="32"/>
          <w:szCs w:val="32"/>
        </w:rPr>
      </w:pPr>
      <w:r>
        <w:rPr>
          <w:rFonts w:hint="eastAsia" w:ascii="楷体_GB2312" w:hAnsi="仿宋" w:eastAsia="楷体_GB2312"/>
          <w:color w:val="000000" w:themeColor="text1"/>
          <w:sz w:val="32"/>
          <w:szCs w:val="32"/>
        </w:rPr>
        <w:t>（二）</w:t>
      </w:r>
      <w:r>
        <w:rPr>
          <w:rFonts w:hint="eastAsia" w:ascii="楷体_GB2312" w:hAnsi="方正小标宋简体" w:eastAsia="楷体_GB2312" w:cs="方正小标宋简体"/>
          <w:color w:val="000000" w:themeColor="text1"/>
          <w:sz w:val="32"/>
          <w:szCs w:val="32"/>
        </w:rPr>
        <w:t>非强制类计量器具检定与校准</w:t>
      </w:r>
    </w:p>
    <w:p>
      <w:pPr>
        <w:spacing w:line="560" w:lineRule="atLeast"/>
        <w:ind w:firstLine="800" w:firstLineChars="250"/>
        <w:rPr>
          <w:rFonts w:ascii="仿宋_GB2312" w:hAnsi="方正小标宋简体" w:eastAsia="仿宋_GB2312" w:cs="方正小标宋简体"/>
          <w:color w:val="000000" w:themeColor="text1"/>
          <w:sz w:val="32"/>
          <w:szCs w:val="32"/>
        </w:rPr>
      </w:pPr>
      <w:r>
        <w:rPr>
          <w:rFonts w:hint="eastAsia" w:ascii="仿宋_GB2312" w:hAnsi="方正小标宋简体" w:eastAsia="仿宋_GB2312" w:cs="方正小标宋简体"/>
          <w:color w:val="000000" w:themeColor="text1"/>
          <w:sz w:val="32"/>
          <w:szCs w:val="32"/>
        </w:rPr>
        <w:t>1.数量:1批（以实际检定数量为准）。</w:t>
      </w:r>
    </w:p>
    <w:p>
      <w:pPr>
        <w:spacing w:line="560" w:lineRule="atLeast"/>
        <w:ind w:firstLine="800" w:firstLineChars="25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仿宋_GB2312" w:hAnsi="方正小标宋简体" w:eastAsia="仿宋_GB2312" w:cs="方正小标宋简体"/>
          <w:color w:val="000000" w:themeColor="text1"/>
          <w:sz w:val="32"/>
          <w:szCs w:val="32"/>
        </w:rPr>
        <w:t>2.预算优惠比例值：50%（报价不能低于预算比例值）。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 xml:space="preserve">六、合格的投标人要求  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具有合法有效的《营业执照》、《税务登记证》、《组织机构代码证》（或三证合一，带二维码，事业单位提供事业单位法人证书）、《计量授权证书》、《计量标准考核证书》、《检验检测机构资质认定证书》（资质认定包括检验检测机构计量认证）、《中国合格评定国家认可委员会实验室认可证书》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等</w:t>
      </w:r>
      <w:r>
        <w:rPr>
          <w:rFonts w:hint="eastAsia" w:ascii="仿宋_GB2312" w:hAnsi="仿宋_GB2312" w:eastAsia="仿宋_GB2312" w:cs="仿宋_GB2312"/>
          <w:caps/>
          <w:sz w:val="32"/>
          <w:szCs w:val="32"/>
        </w:rPr>
        <w:t>复印件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，各项资质在有效期内，</w:t>
      </w:r>
      <w:r>
        <w:rPr>
          <w:rFonts w:hint="eastAsia" w:ascii="仿宋_GB2312" w:hAnsi="仿宋_GB2312" w:eastAsia="仿宋_GB2312" w:cs="仿宋_GB2312"/>
          <w:sz w:val="32"/>
          <w:szCs w:val="32"/>
        </w:rPr>
        <w:t>须加盖投标供应商公章，否则视为无效文件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；</w:t>
      </w:r>
    </w:p>
    <w:p>
      <w:pPr>
        <w:spacing w:line="560" w:lineRule="atLeas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（二）省外投标供应商需持招标方所属监管部门（市场监督管理局）授权书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法人身份证复印件、经办人身份证复印件、法人授权书，加盖公章；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（四）具有相应经营范围的独立法人或其他组织；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（五）具有独立承担民事责任能力；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（六）具有良好的商业信誉和健全的财务制度；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（七）具有履行合同所必需的设备和专业技术能力；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（八）投标在近三年内无行贿犯罪记录。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七、售后服务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（一）供货企业所投服务必须满足医院《集中采购管理办法》要求，质量必须符合国家相关部门标准；</w:t>
      </w:r>
    </w:p>
    <w:p>
      <w:pPr>
        <w:spacing w:line="560" w:lineRule="atLeas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八、</w:t>
      </w:r>
      <w:r>
        <w:rPr>
          <w:rFonts w:hint="eastAsia" w:ascii="黑体" w:hAnsi="黑体" w:eastAsia="黑体"/>
          <w:color w:val="000000" w:themeColor="text1"/>
          <w:sz w:val="32"/>
          <w:szCs w:val="32"/>
        </w:rPr>
        <w:t>投标人投标流程</w:t>
      </w:r>
    </w:p>
    <w:p>
      <w:pPr>
        <w:spacing w:line="560" w:lineRule="exact"/>
        <w:ind w:firstLine="640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凡符合条件并有意向的供应商可携带相关资质及报价文件，于2022年4月7日9:55之前，将投标文件交到党政综合办公室。逾期未送达指定地点的投标文件，招标小组工作人员不予受理。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九、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FF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（二）招标结果公示地点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昆明市西山区人民医院4楼院务公开处。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（三）招标结果公示期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自采购开标当天之日起5天。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十、联系方式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地址：昆明市西山区人民医院（昆明市西山区益宁路与西苑浦路交叉口西北侧）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联系人：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医学装备部/石琼美；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联系电话：0871-681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79313。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十一、公告方式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楷体_GB2312" w:hAnsi="楷体" w:eastAsia="楷体_GB2312"/>
          <w:color w:val="000000" w:themeColor="text1"/>
          <w:sz w:val="32"/>
          <w:szCs w:val="32"/>
        </w:rPr>
        <w:t>（一）</w:t>
      </w:r>
      <w:r>
        <w:rPr>
          <w:rFonts w:ascii="Times New Roman" w:hAnsi="Times New Roman" w:eastAsia="仿宋_GB2312"/>
          <w:color w:val="000000" w:themeColor="text1"/>
          <w:sz w:val="32"/>
          <w:szCs w:val="32"/>
        </w:rPr>
        <w:t>昆明市西山区人民医院4楼院务公开处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楷体_GB2312" w:hAnsi="楷体" w:eastAsia="楷体_GB2312"/>
          <w:color w:val="000000" w:themeColor="text1"/>
          <w:sz w:val="32"/>
          <w:szCs w:val="32"/>
        </w:rPr>
        <w:t>（二）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昆明市西山区人民医院微官网：https://www.xsqrmyy.net/。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十三、</w:t>
      </w:r>
      <w:r>
        <w:rPr>
          <w:rFonts w:hint="eastAsia" w:ascii="黑体" w:hAnsi="黑体" w:eastAsia="黑体" w:cs="黑体"/>
          <w:sz w:val="32"/>
          <w:szCs w:val="32"/>
        </w:rPr>
        <w:t>公示期限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>自本公告发布之日起3个工作日。</w:t>
      </w:r>
    </w:p>
    <w:p>
      <w:pPr>
        <w:spacing w:line="560" w:lineRule="atLeast"/>
        <w:ind w:firstLine="64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</w:t>
      </w:r>
    </w:p>
    <w:p>
      <w:pPr>
        <w:spacing w:line="560" w:lineRule="atLeast"/>
        <w:ind w:firstLine="640"/>
        <w:jc w:val="righ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昆明市西山区人民医院</w:t>
      </w:r>
    </w:p>
    <w:p>
      <w:pPr>
        <w:spacing w:line="560" w:lineRule="atLeast"/>
        <w:ind w:firstLine="640"/>
        <w:rPr>
          <w:rFonts w:hint="eastAsia" w:ascii="仿宋_GB2312" w:hAnsi="仿宋" w:eastAsia="仿宋_GB2312" w:cs="Calibri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 </w:t>
      </w:r>
      <w:r>
        <w:rPr>
          <w:rFonts w:hint="eastAsia" w:ascii="仿宋_GB2312" w:hAnsi="仿宋" w:eastAsia="仿宋_GB2312" w:cs="Calibri"/>
          <w:sz w:val="32"/>
          <w:szCs w:val="32"/>
        </w:rPr>
        <w:t>2022年4月2日</w:t>
      </w:r>
    </w:p>
    <w:p>
      <w:pPr>
        <w:spacing w:line="560" w:lineRule="atLeast"/>
        <w:ind w:left="0" w:leftChars="0" w:firstLine="0" w:firstLineChars="0"/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</w:rPr>
        <w:t>附件</w:t>
      </w:r>
    </w:p>
    <w:p>
      <w:pPr>
        <w:spacing w:line="560" w:lineRule="exact"/>
        <w:ind w:firstLine="0" w:firstLineChars="0"/>
        <w:jc w:val="center"/>
        <w:rPr>
          <w:rFonts w:ascii="仿宋_GB2312" w:eastAsia="仿宋_GB2312"/>
          <w:bCs/>
          <w:sz w:val="22"/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  <w:t>2022年强制类和非强制类计量器具检定与校准服务采购项目评分细则</w:t>
      </w:r>
    </w:p>
    <w:tbl>
      <w:tblPr>
        <w:tblStyle w:val="9"/>
        <w:tblW w:w="1101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3"/>
        <w:gridCol w:w="1242"/>
        <w:gridCol w:w="1242"/>
        <w:gridCol w:w="1798"/>
        <w:gridCol w:w="1843"/>
        <w:gridCol w:w="1304"/>
        <w:gridCol w:w="1106"/>
        <w:gridCol w:w="10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03" w:type="dxa"/>
          </w:tcPr>
          <w:p>
            <w:pPr>
              <w:spacing w:line="240" w:lineRule="auto"/>
              <w:ind w:left="221" w:hanging="221" w:hangingChars="100"/>
              <w:jc w:val="center"/>
              <w:rPr>
                <w:rFonts w:ascii="仿宋_GB2312" w:eastAsia="仿宋_GB2312"/>
                <w:b/>
                <w:sz w:val="22"/>
              </w:rPr>
            </w:pPr>
            <w:r>
              <w:rPr>
                <w:rFonts w:hint="eastAsia" w:ascii="仿宋_GB2312" w:eastAsia="仿宋_GB2312"/>
                <w:b/>
                <w:sz w:val="22"/>
              </w:rPr>
              <w:t>投标供应商名称</w:t>
            </w:r>
          </w:p>
        </w:tc>
        <w:tc>
          <w:tcPr>
            <w:tcW w:w="1242" w:type="dxa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eastAsia="仿宋_GB2312"/>
                <w:b/>
                <w:sz w:val="22"/>
              </w:rPr>
            </w:pPr>
            <w:r>
              <w:rPr>
                <w:rFonts w:hint="eastAsia" w:ascii="仿宋_GB2312" w:eastAsia="仿宋_GB2312"/>
                <w:b/>
                <w:sz w:val="22"/>
              </w:rPr>
              <w:t>资质条件</w:t>
            </w:r>
          </w:p>
          <w:p>
            <w:pPr>
              <w:ind w:firstLine="110" w:firstLineChars="50"/>
              <w:jc w:val="center"/>
              <w:rPr>
                <w:rFonts w:ascii="仿宋_GB2312" w:eastAsia="仿宋_GB2312"/>
                <w:b/>
                <w:sz w:val="22"/>
              </w:rPr>
            </w:pPr>
          </w:p>
          <w:p>
            <w:pPr>
              <w:ind w:firstLine="110" w:firstLineChars="50"/>
              <w:jc w:val="center"/>
              <w:rPr>
                <w:rFonts w:ascii="仿宋_GB2312" w:eastAsia="仿宋_GB2312"/>
                <w:b/>
                <w:sz w:val="22"/>
              </w:rPr>
            </w:pPr>
            <w:r>
              <w:rPr>
                <w:rFonts w:hint="eastAsia" w:ascii="仿宋_GB2312" w:eastAsia="仿宋_GB2312"/>
                <w:b/>
                <w:sz w:val="22"/>
              </w:rPr>
              <w:t>（25分）</w:t>
            </w:r>
          </w:p>
        </w:tc>
        <w:tc>
          <w:tcPr>
            <w:tcW w:w="1242" w:type="dxa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eastAsia="仿宋_GB2312"/>
                <w:b/>
                <w:sz w:val="22"/>
              </w:rPr>
            </w:pPr>
            <w:r>
              <w:rPr>
                <w:rFonts w:hint="eastAsia" w:ascii="仿宋_GB2312" w:eastAsia="仿宋_GB2312"/>
                <w:b/>
                <w:sz w:val="22"/>
              </w:rPr>
              <w:t>社会公用计量标准证书</w:t>
            </w:r>
          </w:p>
          <w:p>
            <w:pPr>
              <w:spacing w:line="240" w:lineRule="auto"/>
              <w:ind w:firstLine="0" w:firstLineChars="0"/>
              <w:rPr>
                <w:rFonts w:ascii="仿宋_GB2312" w:eastAsia="仿宋_GB2312"/>
                <w:b/>
                <w:sz w:val="22"/>
              </w:rPr>
            </w:pPr>
            <w:r>
              <w:rPr>
                <w:rFonts w:hint="eastAsia" w:ascii="仿宋_GB2312" w:eastAsia="仿宋_GB2312"/>
                <w:b/>
                <w:sz w:val="22"/>
              </w:rPr>
              <w:t>（15分）</w:t>
            </w:r>
          </w:p>
        </w:tc>
        <w:tc>
          <w:tcPr>
            <w:tcW w:w="1798" w:type="dxa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eastAsia="仿宋_GB2312"/>
                <w:b/>
                <w:sz w:val="22"/>
              </w:rPr>
            </w:pPr>
            <w:r>
              <w:rPr>
                <w:rFonts w:hint="eastAsia" w:ascii="仿宋_GB2312" w:eastAsia="仿宋_GB2312"/>
                <w:b/>
                <w:sz w:val="22"/>
              </w:rPr>
              <w:t>强制检定项目费用报价表</w:t>
            </w:r>
          </w:p>
          <w:p>
            <w:pPr>
              <w:spacing w:line="240" w:lineRule="auto"/>
              <w:ind w:firstLine="221" w:firstLineChars="100"/>
              <w:jc w:val="center"/>
              <w:rPr>
                <w:rFonts w:ascii="仿宋_GB2312" w:eastAsia="仿宋_GB2312"/>
                <w:b/>
                <w:sz w:val="22"/>
              </w:rPr>
            </w:pPr>
          </w:p>
          <w:p>
            <w:pPr>
              <w:spacing w:line="240" w:lineRule="auto"/>
              <w:ind w:firstLine="221" w:firstLineChars="100"/>
              <w:jc w:val="center"/>
              <w:rPr>
                <w:rFonts w:ascii="仿宋_GB2312" w:eastAsia="仿宋_GB2312"/>
                <w:b/>
                <w:sz w:val="22"/>
              </w:rPr>
            </w:pPr>
            <w:r>
              <w:rPr>
                <w:rFonts w:hint="eastAsia" w:ascii="仿宋_GB2312" w:eastAsia="仿宋_GB2312"/>
                <w:b/>
                <w:sz w:val="22"/>
              </w:rPr>
              <w:t>（20分）</w:t>
            </w:r>
          </w:p>
        </w:tc>
        <w:tc>
          <w:tcPr>
            <w:tcW w:w="1843" w:type="dxa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eastAsia="仿宋_GB2312"/>
                <w:b/>
                <w:sz w:val="22"/>
              </w:rPr>
            </w:pPr>
            <w:r>
              <w:rPr>
                <w:rFonts w:hint="eastAsia" w:ascii="仿宋_GB2312" w:eastAsia="仿宋_GB2312"/>
                <w:b/>
                <w:sz w:val="22"/>
              </w:rPr>
              <w:t>非强制检定项目费用优惠比例值报价表</w:t>
            </w:r>
          </w:p>
          <w:p>
            <w:pPr>
              <w:spacing w:line="240" w:lineRule="auto"/>
              <w:ind w:firstLine="221" w:firstLineChars="100"/>
              <w:rPr>
                <w:rFonts w:ascii="仿宋_GB2312" w:eastAsia="仿宋_GB2312"/>
                <w:b/>
                <w:sz w:val="22"/>
              </w:rPr>
            </w:pPr>
            <w:r>
              <w:rPr>
                <w:rFonts w:hint="eastAsia" w:ascii="仿宋_GB2312" w:eastAsia="仿宋_GB2312"/>
                <w:b/>
                <w:sz w:val="22"/>
              </w:rPr>
              <w:t>（20分）</w:t>
            </w:r>
          </w:p>
        </w:tc>
        <w:tc>
          <w:tcPr>
            <w:tcW w:w="1304" w:type="dxa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eastAsia="仿宋_GB2312"/>
                <w:b/>
                <w:sz w:val="22"/>
              </w:rPr>
            </w:pPr>
            <w:r>
              <w:rPr>
                <w:rFonts w:hint="eastAsia" w:ascii="仿宋_GB2312" w:eastAsia="仿宋_GB2312"/>
                <w:b/>
                <w:sz w:val="22"/>
              </w:rPr>
              <w:t>强制检定项目备案能力材料</w:t>
            </w:r>
          </w:p>
          <w:p>
            <w:pPr>
              <w:spacing w:line="240" w:lineRule="auto"/>
              <w:ind w:firstLine="0" w:firstLineChars="0"/>
              <w:jc w:val="center"/>
              <w:rPr>
                <w:rFonts w:ascii="仿宋_GB2312" w:eastAsia="仿宋_GB2312"/>
                <w:b/>
                <w:sz w:val="22"/>
              </w:rPr>
            </w:pPr>
            <w:r>
              <w:rPr>
                <w:rFonts w:hint="eastAsia" w:ascii="仿宋_GB2312" w:eastAsia="仿宋_GB2312"/>
                <w:b/>
                <w:sz w:val="22"/>
              </w:rPr>
              <w:t>（10分）</w:t>
            </w:r>
          </w:p>
        </w:tc>
        <w:tc>
          <w:tcPr>
            <w:tcW w:w="1106" w:type="dxa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eastAsia="仿宋_GB2312"/>
                <w:b/>
                <w:sz w:val="22"/>
              </w:rPr>
            </w:pPr>
            <w:r>
              <w:rPr>
                <w:rFonts w:hint="eastAsia" w:ascii="仿宋_GB2312" w:eastAsia="仿宋_GB2312"/>
                <w:b/>
                <w:sz w:val="22"/>
              </w:rPr>
              <w:t>出具电子证书能力证明材料</w:t>
            </w:r>
          </w:p>
          <w:p>
            <w:pPr>
              <w:spacing w:line="240" w:lineRule="auto"/>
              <w:ind w:firstLine="0" w:firstLineChars="0"/>
              <w:jc w:val="center"/>
              <w:rPr>
                <w:rFonts w:ascii="仿宋_GB2312" w:eastAsia="仿宋_GB2312"/>
                <w:b/>
                <w:sz w:val="22"/>
              </w:rPr>
            </w:pPr>
            <w:r>
              <w:rPr>
                <w:rFonts w:hint="eastAsia" w:ascii="仿宋_GB2312" w:eastAsia="仿宋_GB2312"/>
                <w:b/>
                <w:sz w:val="22"/>
              </w:rPr>
              <w:t>（10分）</w:t>
            </w:r>
          </w:p>
        </w:tc>
        <w:tc>
          <w:tcPr>
            <w:tcW w:w="1074" w:type="dxa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仿宋_GB2312" w:eastAsia="仿宋_GB2312"/>
                <w:b/>
                <w:sz w:val="22"/>
              </w:rPr>
            </w:pPr>
            <w:r>
              <w:rPr>
                <w:rFonts w:hint="eastAsia" w:ascii="仿宋_GB2312" w:eastAsia="仿宋_GB2312"/>
                <w:b/>
                <w:sz w:val="22"/>
              </w:rPr>
              <w:t>综合评分结果</w:t>
            </w:r>
          </w:p>
          <w:p>
            <w:pPr>
              <w:spacing w:line="240" w:lineRule="auto"/>
              <w:ind w:firstLine="0" w:firstLineChars="0"/>
              <w:jc w:val="center"/>
              <w:rPr>
                <w:rFonts w:hint="eastAsia" w:ascii="仿宋_GB2312" w:eastAsia="仿宋_GB2312"/>
                <w:b/>
                <w:sz w:val="22"/>
              </w:rPr>
            </w:pPr>
          </w:p>
          <w:p>
            <w:pPr>
              <w:spacing w:line="240" w:lineRule="auto"/>
              <w:ind w:firstLine="0" w:firstLineChars="0"/>
              <w:jc w:val="center"/>
              <w:rPr>
                <w:rFonts w:hint="eastAsia" w:ascii="仿宋_GB2312" w:eastAsia="仿宋_GB2312"/>
                <w:b/>
                <w:sz w:val="22"/>
                <w:lang w:eastAsia="zh-CN"/>
              </w:rPr>
            </w:pPr>
            <w:r>
              <w:rPr>
                <w:rFonts w:hint="eastAsia" w:ascii="仿宋_GB2312" w:eastAsia="仿宋_GB2312"/>
                <w:b/>
                <w:sz w:val="22"/>
                <w:lang w:eastAsia="zh-CN"/>
              </w:rPr>
              <w:t>（满分</w:t>
            </w:r>
            <w:r>
              <w:rPr>
                <w:rFonts w:hint="eastAsia" w:ascii="仿宋_GB2312" w:eastAsia="仿宋_GB2312"/>
                <w:b/>
                <w:sz w:val="22"/>
                <w:lang w:val="en-US" w:eastAsia="zh-CN"/>
              </w:rPr>
              <w:t>100分</w:t>
            </w:r>
            <w:r>
              <w:rPr>
                <w:rFonts w:hint="eastAsia" w:ascii="仿宋_GB2312" w:eastAsia="仿宋_GB2312"/>
                <w:b/>
                <w:sz w:val="22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7" w:hRule="atLeast"/>
          <w:jc w:val="center"/>
        </w:trPr>
        <w:tc>
          <w:tcPr>
            <w:tcW w:w="1403" w:type="dxa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1242" w:type="dxa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1242" w:type="dxa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1798" w:type="dxa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1843" w:type="dxa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1304" w:type="dxa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1106" w:type="dxa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1074" w:type="dxa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3" w:hRule="atLeast"/>
          <w:jc w:val="center"/>
        </w:trPr>
        <w:tc>
          <w:tcPr>
            <w:tcW w:w="1403" w:type="dxa"/>
          </w:tcPr>
          <w:p>
            <w:pPr>
              <w:spacing w:line="240" w:lineRule="auto"/>
              <w:ind w:firstLine="0" w:firstLineChars="0"/>
              <w:rPr>
                <w:rFonts w:ascii="仿宋_GB2312" w:eastAsia="仿宋_GB2312"/>
                <w:sz w:val="22"/>
              </w:rPr>
            </w:pPr>
          </w:p>
        </w:tc>
        <w:tc>
          <w:tcPr>
            <w:tcW w:w="1242" w:type="dxa"/>
          </w:tcPr>
          <w:p>
            <w:pPr>
              <w:spacing w:line="240" w:lineRule="auto"/>
              <w:ind w:firstLine="0" w:firstLineChars="0"/>
              <w:rPr>
                <w:rFonts w:ascii="仿宋_GB2312" w:eastAsia="仿宋_GB2312"/>
                <w:sz w:val="22"/>
              </w:rPr>
            </w:pPr>
          </w:p>
        </w:tc>
        <w:tc>
          <w:tcPr>
            <w:tcW w:w="1242" w:type="dxa"/>
          </w:tcPr>
          <w:p>
            <w:pPr>
              <w:spacing w:line="240" w:lineRule="auto"/>
              <w:ind w:firstLine="0" w:firstLineChars="0"/>
              <w:rPr>
                <w:rFonts w:ascii="仿宋_GB2312" w:eastAsia="仿宋_GB2312"/>
                <w:sz w:val="22"/>
              </w:rPr>
            </w:pPr>
          </w:p>
        </w:tc>
        <w:tc>
          <w:tcPr>
            <w:tcW w:w="1798" w:type="dxa"/>
          </w:tcPr>
          <w:p>
            <w:pPr>
              <w:spacing w:line="240" w:lineRule="auto"/>
              <w:ind w:firstLine="0" w:firstLineChars="0"/>
              <w:rPr>
                <w:rFonts w:ascii="仿宋_GB2312" w:eastAsia="仿宋_GB2312"/>
                <w:sz w:val="22"/>
              </w:rPr>
            </w:pPr>
          </w:p>
        </w:tc>
        <w:tc>
          <w:tcPr>
            <w:tcW w:w="1843" w:type="dxa"/>
          </w:tcPr>
          <w:p>
            <w:pPr>
              <w:spacing w:line="240" w:lineRule="auto"/>
              <w:ind w:firstLine="0" w:firstLineChars="0"/>
              <w:rPr>
                <w:rFonts w:ascii="仿宋_GB2312" w:eastAsia="仿宋_GB2312"/>
                <w:sz w:val="22"/>
              </w:rPr>
            </w:pPr>
          </w:p>
        </w:tc>
        <w:tc>
          <w:tcPr>
            <w:tcW w:w="1304" w:type="dxa"/>
          </w:tcPr>
          <w:p>
            <w:pPr>
              <w:spacing w:line="240" w:lineRule="auto"/>
              <w:ind w:firstLine="0" w:firstLineChars="0"/>
              <w:rPr>
                <w:rFonts w:ascii="仿宋_GB2312" w:eastAsia="仿宋_GB2312"/>
                <w:sz w:val="22"/>
              </w:rPr>
            </w:pPr>
          </w:p>
        </w:tc>
        <w:tc>
          <w:tcPr>
            <w:tcW w:w="1106" w:type="dxa"/>
          </w:tcPr>
          <w:p>
            <w:pPr>
              <w:spacing w:line="240" w:lineRule="auto"/>
              <w:ind w:firstLine="0" w:firstLineChars="0"/>
              <w:rPr>
                <w:rFonts w:ascii="仿宋_GB2312" w:eastAsia="仿宋_GB2312"/>
                <w:sz w:val="22"/>
              </w:rPr>
            </w:pPr>
          </w:p>
        </w:tc>
        <w:tc>
          <w:tcPr>
            <w:tcW w:w="1074" w:type="dxa"/>
          </w:tcPr>
          <w:p>
            <w:pPr>
              <w:spacing w:line="240" w:lineRule="auto"/>
              <w:ind w:firstLine="0" w:firstLineChars="0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7" w:hRule="atLeast"/>
          <w:jc w:val="center"/>
        </w:trPr>
        <w:tc>
          <w:tcPr>
            <w:tcW w:w="11012" w:type="dxa"/>
            <w:gridSpan w:val="8"/>
          </w:tcPr>
          <w:p>
            <w:pPr>
              <w:spacing w:line="420" w:lineRule="exact"/>
              <w:ind w:firstLine="0" w:firstLineChars="0"/>
              <w:rPr>
                <w:rFonts w:ascii="黑体" w:hAnsi="黑体" w:eastAsia="黑体"/>
                <w:b/>
                <w:sz w:val="24"/>
                <w:szCs w:val="24"/>
              </w:rPr>
            </w:pPr>
            <w:r>
              <w:rPr>
                <w:rFonts w:hint="eastAsia" w:ascii="黑体" w:hAnsi="黑体" w:eastAsia="黑体"/>
                <w:b/>
                <w:sz w:val="24"/>
                <w:szCs w:val="24"/>
              </w:rPr>
              <w:t>评分标准</w:t>
            </w:r>
          </w:p>
          <w:p>
            <w:pPr>
              <w:spacing w:line="420" w:lineRule="exact"/>
              <w:ind w:firstLine="0" w:firstLineChars="0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1.资质条件</w:t>
            </w:r>
            <w:bookmarkStart w:id="0" w:name="_GoBack"/>
            <w:bookmarkEnd w:id="0"/>
          </w:p>
          <w:p>
            <w:pPr>
              <w:spacing w:line="420" w:lineRule="exact"/>
              <w:ind w:firstLine="480"/>
              <w:rPr>
                <w:rFonts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提供合法有效的《营业执照》、《税务登记证》、《组织机构代码证》（或三证合一，带二维码，事业单位提供事业单位法人证书）、《计量授权证书》、《计量标准考核证书》、《检验检测机构资质认定证书》（资质认定包括检验检测机构计量认证）、《中国合格评定国家认可委员会实验室认可证书》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  <w:t>等</w:t>
            </w:r>
            <w:r>
              <w:rPr>
                <w:rFonts w:hint="eastAsia" w:ascii="仿宋_GB2312" w:hAnsi="仿宋_GB2312" w:eastAsia="仿宋_GB2312" w:cs="仿宋_GB2312"/>
                <w:caps/>
                <w:sz w:val="24"/>
                <w:szCs w:val="24"/>
              </w:rPr>
              <w:t>复印件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须加盖投标供应商公章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  <w:t>。</w:t>
            </w:r>
          </w:p>
          <w:p>
            <w:pPr>
              <w:spacing w:line="420" w:lineRule="exact"/>
              <w:ind w:firstLine="0" w:firstLineChars="0"/>
              <w:rPr>
                <w:rFonts w:ascii="仿宋_GB2312" w:hAnsi="仿宋_GB2312" w:eastAsia="仿宋_GB2312" w:cs="仿宋_GB2312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  <w:shd w:val="clear" w:color="auto" w:fill="FFFFFF"/>
              </w:rPr>
              <w:t>2.</w:t>
            </w:r>
            <w:r>
              <w:rPr>
                <w:rFonts w:hint="eastAsia" w:ascii="仿宋_GB2312" w:eastAsia="仿宋_GB2312"/>
                <w:b/>
                <w:sz w:val="24"/>
                <w:szCs w:val="24"/>
              </w:rPr>
              <w:t>社会公用计量标准证书</w:t>
            </w:r>
          </w:p>
          <w:p>
            <w:pPr>
              <w:spacing w:line="420" w:lineRule="exact"/>
              <w:ind w:firstLine="240" w:firstLineChars="10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提供有效的社会公用计量标准证书，未提供者不得分。</w:t>
            </w:r>
          </w:p>
          <w:p>
            <w:pPr>
              <w:spacing w:line="420" w:lineRule="exact"/>
              <w:ind w:left="3735" w:hanging="3735" w:hangingChars="1550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3.强制检定项目费用报价表（提供材料）</w:t>
            </w:r>
          </w:p>
          <w:p>
            <w:pPr>
              <w:spacing w:line="420" w:lineRule="exact"/>
              <w:ind w:left="3675" w:leftChars="150" w:hanging="3360" w:hangingChars="1400"/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提供强制管理计量器具检定费用报价表，报价须为“</w:t>
            </w:r>
            <w:r>
              <w:rPr>
                <w:rFonts w:hint="eastAsia" w:ascii="仿宋_GB2312" w:eastAsia="仿宋_GB2312"/>
                <w:b/>
                <w:sz w:val="24"/>
                <w:szCs w:val="24"/>
              </w:rPr>
              <w:t>停征</w:t>
            </w:r>
            <w:r>
              <w:rPr>
                <w:rFonts w:hint="eastAsia" w:ascii="仿宋_GB2312" w:eastAsia="仿宋_GB2312"/>
                <w:sz w:val="24"/>
                <w:szCs w:val="24"/>
              </w:rPr>
              <w:t>”，提供者得20分，未提供者视为征收费用，</w:t>
            </w:r>
          </w:p>
          <w:p>
            <w:pPr>
              <w:spacing w:line="420" w:lineRule="exact"/>
              <w:ind w:left="3675" w:leftChars="150" w:hanging="3360" w:hangingChars="1400"/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作为不合格供应商进行否决。</w:t>
            </w:r>
          </w:p>
          <w:p>
            <w:pPr>
              <w:spacing w:line="420" w:lineRule="exact"/>
              <w:ind w:firstLine="241" w:firstLineChars="100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4.</w:t>
            </w:r>
            <w:r>
              <w:rPr>
                <w:rFonts w:hint="eastAsia" w:ascii="仿宋_GB2312" w:eastAsia="仿宋_GB2312"/>
                <w:b/>
                <w:sz w:val="22"/>
              </w:rPr>
              <w:t>非强制检定项目费用优惠比例值报价表</w:t>
            </w:r>
            <w:r>
              <w:rPr>
                <w:rFonts w:hint="eastAsia" w:ascii="仿宋_GB2312" w:eastAsia="仿宋_GB2312"/>
                <w:b/>
                <w:sz w:val="24"/>
                <w:szCs w:val="24"/>
              </w:rPr>
              <w:t>（投标供应商报价</w:t>
            </w:r>
            <w:r>
              <w:rPr>
                <w:rFonts w:hint="eastAsia" w:ascii="仿宋_GB2312" w:eastAsia="仿宋_GB2312"/>
                <w:b/>
                <w:sz w:val="22"/>
              </w:rPr>
              <w:t>优惠比例值</w:t>
            </w:r>
            <w:r>
              <w:rPr>
                <w:rFonts w:hint="eastAsia" w:ascii="仿宋_GB2312" w:eastAsia="仿宋_GB2312"/>
                <w:b/>
                <w:sz w:val="24"/>
                <w:szCs w:val="24"/>
              </w:rPr>
              <w:t>不能低于预算比例值50%，比例值越高，优惠比例越大，得分越多）。</w:t>
            </w:r>
          </w:p>
          <w:p>
            <w:pPr>
              <w:spacing w:line="420" w:lineRule="exact"/>
              <w:ind w:firstLine="240" w:firstLineChars="10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提供</w:t>
            </w:r>
            <w:r>
              <w:rPr>
                <w:rFonts w:hint="eastAsia" w:ascii="仿宋_GB2312" w:eastAsia="仿宋_GB2312"/>
                <w:sz w:val="22"/>
              </w:rPr>
              <w:t>非强制检定项目费用优惠比例值报价表，优惠比例值最高者得满分20分。以报价最高优惠比例值为基准，</w:t>
            </w:r>
            <w:r>
              <w:rPr>
                <w:rFonts w:hint="eastAsia" w:ascii="仿宋_GB2312" w:eastAsia="仿宋_GB2312"/>
                <w:sz w:val="24"/>
                <w:szCs w:val="24"/>
              </w:rPr>
              <w:t>降低相应百分比，扣相应的分值（例：降低10%，扣10分；降低3%，扣3分，依此类推）。</w:t>
            </w:r>
          </w:p>
          <w:p>
            <w:pPr>
              <w:spacing w:line="420" w:lineRule="exact"/>
              <w:ind w:firstLine="0" w:firstLineChars="0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5</w:t>
            </w:r>
            <w:r>
              <w:rPr>
                <w:rFonts w:hint="eastAsia" w:ascii="仿宋_GB2312" w:eastAsia="仿宋_GB2312"/>
                <w:sz w:val="24"/>
                <w:szCs w:val="24"/>
              </w:rPr>
              <w:t>.</w:t>
            </w:r>
            <w:r>
              <w:rPr>
                <w:rFonts w:hint="eastAsia" w:ascii="仿宋_GB2312" w:eastAsia="仿宋_GB2312"/>
                <w:b/>
                <w:sz w:val="24"/>
                <w:szCs w:val="24"/>
              </w:rPr>
              <w:t>强制检定项目备案能力材料</w:t>
            </w:r>
          </w:p>
          <w:p>
            <w:pPr>
              <w:spacing w:line="420" w:lineRule="exact"/>
              <w:ind w:left="4155" w:leftChars="150" w:hanging="3840" w:hangingChars="160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提供云南省计量信息管理系统备案能力相关文件</w:t>
            </w:r>
          </w:p>
          <w:p>
            <w:pPr>
              <w:spacing w:line="420" w:lineRule="exact"/>
              <w:ind w:firstLine="0" w:firstLineChars="0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6.出具电子证书能力证明材料</w:t>
            </w:r>
          </w:p>
          <w:p>
            <w:pPr>
              <w:spacing w:line="420" w:lineRule="exact"/>
              <w:ind w:firstLine="240" w:firstLineChars="100"/>
              <w:rPr>
                <w:rFonts w:ascii="仿宋_GB2312" w:eastAsia="仿宋_GB2312"/>
                <w:color w:val="000000" w:themeColor="text1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</w:rPr>
              <w:t>提供出具电子证书能力相关材料</w:t>
            </w:r>
          </w:p>
        </w:tc>
      </w:tr>
    </w:tbl>
    <w:p>
      <w:pPr>
        <w:spacing w:line="440" w:lineRule="exact"/>
        <w:ind w:firstLine="0" w:firstLineChars="0"/>
        <w:rPr>
          <w:rFonts w:ascii="仿宋_GB2312" w:eastAsia="仿宋_GB2312"/>
          <w:sz w:val="22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851" w:right="1797" w:bottom="85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粗黑宋简体">
    <w:altName w:val="Arial Unicode MS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roman"/>
    <w:pitch w:val="default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B3537"/>
    <w:rsid w:val="00001D2A"/>
    <w:rsid w:val="00007B7E"/>
    <w:rsid w:val="00010C42"/>
    <w:rsid w:val="0003127D"/>
    <w:rsid w:val="00036001"/>
    <w:rsid w:val="00040D70"/>
    <w:rsid w:val="000529BF"/>
    <w:rsid w:val="00057DB4"/>
    <w:rsid w:val="000628C1"/>
    <w:rsid w:val="00062C10"/>
    <w:rsid w:val="00064510"/>
    <w:rsid w:val="00064A82"/>
    <w:rsid w:val="00073CCD"/>
    <w:rsid w:val="000836B2"/>
    <w:rsid w:val="00084ACF"/>
    <w:rsid w:val="00084F86"/>
    <w:rsid w:val="000A6EF5"/>
    <w:rsid w:val="000B19B0"/>
    <w:rsid w:val="000B44CD"/>
    <w:rsid w:val="000D03A0"/>
    <w:rsid w:val="000E67C1"/>
    <w:rsid w:val="000F0045"/>
    <w:rsid w:val="000F0A33"/>
    <w:rsid w:val="00115E24"/>
    <w:rsid w:val="00116420"/>
    <w:rsid w:val="00124F52"/>
    <w:rsid w:val="00125169"/>
    <w:rsid w:val="00133C64"/>
    <w:rsid w:val="00144604"/>
    <w:rsid w:val="001516EE"/>
    <w:rsid w:val="00153E28"/>
    <w:rsid w:val="001562A7"/>
    <w:rsid w:val="00161288"/>
    <w:rsid w:val="00164418"/>
    <w:rsid w:val="00164B65"/>
    <w:rsid w:val="00164D9F"/>
    <w:rsid w:val="001671C4"/>
    <w:rsid w:val="00170FA7"/>
    <w:rsid w:val="00174037"/>
    <w:rsid w:val="00174FBD"/>
    <w:rsid w:val="00175841"/>
    <w:rsid w:val="0017710E"/>
    <w:rsid w:val="001908BB"/>
    <w:rsid w:val="001A1BC3"/>
    <w:rsid w:val="001A3644"/>
    <w:rsid w:val="001A51EE"/>
    <w:rsid w:val="001B0788"/>
    <w:rsid w:val="001C1FC7"/>
    <w:rsid w:val="001C694A"/>
    <w:rsid w:val="001D4A58"/>
    <w:rsid w:val="001F2F52"/>
    <w:rsid w:val="001F32F9"/>
    <w:rsid w:val="00200460"/>
    <w:rsid w:val="0020754D"/>
    <w:rsid w:val="0021073C"/>
    <w:rsid w:val="002206FC"/>
    <w:rsid w:val="002231AD"/>
    <w:rsid w:val="00235A32"/>
    <w:rsid w:val="0023765C"/>
    <w:rsid w:val="00242819"/>
    <w:rsid w:val="00251953"/>
    <w:rsid w:val="00251992"/>
    <w:rsid w:val="0025354F"/>
    <w:rsid w:val="002562E5"/>
    <w:rsid w:val="00271E6C"/>
    <w:rsid w:val="00276E9D"/>
    <w:rsid w:val="00277E99"/>
    <w:rsid w:val="00277FCB"/>
    <w:rsid w:val="00291053"/>
    <w:rsid w:val="00291866"/>
    <w:rsid w:val="00294EB5"/>
    <w:rsid w:val="002A0C9C"/>
    <w:rsid w:val="002A1D1E"/>
    <w:rsid w:val="002A22F5"/>
    <w:rsid w:val="002A6809"/>
    <w:rsid w:val="002A6BA5"/>
    <w:rsid w:val="002A7F61"/>
    <w:rsid w:val="002B0D9C"/>
    <w:rsid w:val="002B158C"/>
    <w:rsid w:val="002B3649"/>
    <w:rsid w:val="002D3B91"/>
    <w:rsid w:val="002D4C1A"/>
    <w:rsid w:val="00300B21"/>
    <w:rsid w:val="00301242"/>
    <w:rsid w:val="00314B0E"/>
    <w:rsid w:val="003303EA"/>
    <w:rsid w:val="00331E6A"/>
    <w:rsid w:val="00333D69"/>
    <w:rsid w:val="0033558D"/>
    <w:rsid w:val="00335683"/>
    <w:rsid w:val="003415E4"/>
    <w:rsid w:val="00346ED8"/>
    <w:rsid w:val="00346F7B"/>
    <w:rsid w:val="00350180"/>
    <w:rsid w:val="0035043A"/>
    <w:rsid w:val="0035081D"/>
    <w:rsid w:val="00352262"/>
    <w:rsid w:val="00355F94"/>
    <w:rsid w:val="0036045D"/>
    <w:rsid w:val="00361FED"/>
    <w:rsid w:val="00367A36"/>
    <w:rsid w:val="003759CB"/>
    <w:rsid w:val="003777F8"/>
    <w:rsid w:val="00383FFA"/>
    <w:rsid w:val="003854C4"/>
    <w:rsid w:val="0038582E"/>
    <w:rsid w:val="003879E0"/>
    <w:rsid w:val="0039108A"/>
    <w:rsid w:val="00391BF1"/>
    <w:rsid w:val="003A5F0D"/>
    <w:rsid w:val="003A6B38"/>
    <w:rsid w:val="003C05E3"/>
    <w:rsid w:val="003C1758"/>
    <w:rsid w:val="003C26A7"/>
    <w:rsid w:val="003C41F0"/>
    <w:rsid w:val="003D287B"/>
    <w:rsid w:val="003D5076"/>
    <w:rsid w:val="003E33BA"/>
    <w:rsid w:val="003F300C"/>
    <w:rsid w:val="003F6E16"/>
    <w:rsid w:val="003F746B"/>
    <w:rsid w:val="00403790"/>
    <w:rsid w:val="00405561"/>
    <w:rsid w:val="0040650F"/>
    <w:rsid w:val="00406615"/>
    <w:rsid w:val="00411B47"/>
    <w:rsid w:val="00431E2C"/>
    <w:rsid w:val="00436F99"/>
    <w:rsid w:val="0044295E"/>
    <w:rsid w:val="00444734"/>
    <w:rsid w:val="00446AA7"/>
    <w:rsid w:val="00455794"/>
    <w:rsid w:val="00455ADC"/>
    <w:rsid w:val="00457EEF"/>
    <w:rsid w:val="00464D3E"/>
    <w:rsid w:val="00465633"/>
    <w:rsid w:val="0047156E"/>
    <w:rsid w:val="004774B6"/>
    <w:rsid w:val="0049039C"/>
    <w:rsid w:val="004D010F"/>
    <w:rsid w:val="004D0E4F"/>
    <w:rsid w:val="004D1519"/>
    <w:rsid w:val="004E0242"/>
    <w:rsid w:val="004E618B"/>
    <w:rsid w:val="004E654C"/>
    <w:rsid w:val="004F243B"/>
    <w:rsid w:val="00506F69"/>
    <w:rsid w:val="00507B8F"/>
    <w:rsid w:val="00517555"/>
    <w:rsid w:val="0052320E"/>
    <w:rsid w:val="00524743"/>
    <w:rsid w:val="00526853"/>
    <w:rsid w:val="00531AFF"/>
    <w:rsid w:val="005350A7"/>
    <w:rsid w:val="00540425"/>
    <w:rsid w:val="00542F03"/>
    <w:rsid w:val="00554228"/>
    <w:rsid w:val="00570958"/>
    <w:rsid w:val="005973F0"/>
    <w:rsid w:val="00597C71"/>
    <w:rsid w:val="005A0C4D"/>
    <w:rsid w:val="005B3537"/>
    <w:rsid w:val="005B5B6E"/>
    <w:rsid w:val="005B7469"/>
    <w:rsid w:val="005C2217"/>
    <w:rsid w:val="005D06ED"/>
    <w:rsid w:val="005D2515"/>
    <w:rsid w:val="005D2AFA"/>
    <w:rsid w:val="005E0572"/>
    <w:rsid w:val="006143A1"/>
    <w:rsid w:val="00614D43"/>
    <w:rsid w:val="00617444"/>
    <w:rsid w:val="00622A65"/>
    <w:rsid w:val="00622A8F"/>
    <w:rsid w:val="00622C8A"/>
    <w:rsid w:val="00624AC7"/>
    <w:rsid w:val="00636F8F"/>
    <w:rsid w:val="0063762D"/>
    <w:rsid w:val="00637C76"/>
    <w:rsid w:val="006409EB"/>
    <w:rsid w:val="00654522"/>
    <w:rsid w:val="006565D2"/>
    <w:rsid w:val="00664297"/>
    <w:rsid w:val="006648B2"/>
    <w:rsid w:val="00676C5D"/>
    <w:rsid w:val="00691DFE"/>
    <w:rsid w:val="0069314B"/>
    <w:rsid w:val="0069502F"/>
    <w:rsid w:val="00697059"/>
    <w:rsid w:val="006B309D"/>
    <w:rsid w:val="006B73C7"/>
    <w:rsid w:val="006C104B"/>
    <w:rsid w:val="006C1FE9"/>
    <w:rsid w:val="006C61F5"/>
    <w:rsid w:val="006D23CE"/>
    <w:rsid w:val="006D49CB"/>
    <w:rsid w:val="006F7721"/>
    <w:rsid w:val="00710DE4"/>
    <w:rsid w:val="00712107"/>
    <w:rsid w:val="0071486C"/>
    <w:rsid w:val="007267A9"/>
    <w:rsid w:val="007314C1"/>
    <w:rsid w:val="00731943"/>
    <w:rsid w:val="00734BC0"/>
    <w:rsid w:val="00736406"/>
    <w:rsid w:val="00756B2D"/>
    <w:rsid w:val="00761027"/>
    <w:rsid w:val="007613A6"/>
    <w:rsid w:val="00762864"/>
    <w:rsid w:val="00763E19"/>
    <w:rsid w:val="00767C61"/>
    <w:rsid w:val="00770EC8"/>
    <w:rsid w:val="00781DA2"/>
    <w:rsid w:val="00781F19"/>
    <w:rsid w:val="0078331C"/>
    <w:rsid w:val="00783C00"/>
    <w:rsid w:val="00784D63"/>
    <w:rsid w:val="00784E56"/>
    <w:rsid w:val="00792378"/>
    <w:rsid w:val="00792F51"/>
    <w:rsid w:val="0079336E"/>
    <w:rsid w:val="00794AE1"/>
    <w:rsid w:val="00795005"/>
    <w:rsid w:val="007B0418"/>
    <w:rsid w:val="007B4A83"/>
    <w:rsid w:val="007C13FF"/>
    <w:rsid w:val="007C47BC"/>
    <w:rsid w:val="007C646B"/>
    <w:rsid w:val="007D10D4"/>
    <w:rsid w:val="007D64D1"/>
    <w:rsid w:val="007F177C"/>
    <w:rsid w:val="008035BF"/>
    <w:rsid w:val="0080519B"/>
    <w:rsid w:val="00834EFB"/>
    <w:rsid w:val="0084495F"/>
    <w:rsid w:val="00847AAA"/>
    <w:rsid w:val="008509BC"/>
    <w:rsid w:val="00853D09"/>
    <w:rsid w:val="00853FFC"/>
    <w:rsid w:val="00863CC6"/>
    <w:rsid w:val="008666F8"/>
    <w:rsid w:val="008671DF"/>
    <w:rsid w:val="00867C8E"/>
    <w:rsid w:val="008730DE"/>
    <w:rsid w:val="008760A4"/>
    <w:rsid w:val="00884848"/>
    <w:rsid w:val="00890381"/>
    <w:rsid w:val="0089167B"/>
    <w:rsid w:val="008A65AF"/>
    <w:rsid w:val="008C6221"/>
    <w:rsid w:val="008D0674"/>
    <w:rsid w:val="008D3D7B"/>
    <w:rsid w:val="008D52DD"/>
    <w:rsid w:val="008D636B"/>
    <w:rsid w:val="008E0D99"/>
    <w:rsid w:val="008E1F57"/>
    <w:rsid w:val="008E2753"/>
    <w:rsid w:val="008F5E66"/>
    <w:rsid w:val="00902A3F"/>
    <w:rsid w:val="00912416"/>
    <w:rsid w:val="00917A99"/>
    <w:rsid w:val="00924A60"/>
    <w:rsid w:val="00924CD6"/>
    <w:rsid w:val="00925E56"/>
    <w:rsid w:val="00940745"/>
    <w:rsid w:val="009467AE"/>
    <w:rsid w:val="009500FD"/>
    <w:rsid w:val="00952EB8"/>
    <w:rsid w:val="0096571D"/>
    <w:rsid w:val="00976CDB"/>
    <w:rsid w:val="00977BA2"/>
    <w:rsid w:val="00981B9A"/>
    <w:rsid w:val="009837C1"/>
    <w:rsid w:val="00994A21"/>
    <w:rsid w:val="009B226F"/>
    <w:rsid w:val="009B50A2"/>
    <w:rsid w:val="009B5927"/>
    <w:rsid w:val="009C2BF1"/>
    <w:rsid w:val="009D372F"/>
    <w:rsid w:val="009E7F1F"/>
    <w:rsid w:val="009F4465"/>
    <w:rsid w:val="009F7346"/>
    <w:rsid w:val="00A00132"/>
    <w:rsid w:val="00A0212E"/>
    <w:rsid w:val="00A02EE1"/>
    <w:rsid w:val="00A03407"/>
    <w:rsid w:val="00A05E53"/>
    <w:rsid w:val="00A12E30"/>
    <w:rsid w:val="00A1370D"/>
    <w:rsid w:val="00A14CC9"/>
    <w:rsid w:val="00A16510"/>
    <w:rsid w:val="00A16DB6"/>
    <w:rsid w:val="00A17B7B"/>
    <w:rsid w:val="00A274B1"/>
    <w:rsid w:val="00A275D2"/>
    <w:rsid w:val="00A332C7"/>
    <w:rsid w:val="00A3691B"/>
    <w:rsid w:val="00A525B8"/>
    <w:rsid w:val="00A56B26"/>
    <w:rsid w:val="00A629B8"/>
    <w:rsid w:val="00A63C77"/>
    <w:rsid w:val="00A647AA"/>
    <w:rsid w:val="00A71624"/>
    <w:rsid w:val="00A74D1F"/>
    <w:rsid w:val="00A764C4"/>
    <w:rsid w:val="00A777F3"/>
    <w:rsid w:val="00A80644"/>
    <w:rsid w:val="00A83D8E"/>
    <w:rsid w:val="00A84F22"/>
    <w:rsid w:val="00A97BD8"/>
    <w:rsid w:val="00AB0AD7"/>
    <w:rsid w:val="00AC118B"/>
    <w:rsid w:val="00AC1C71"/>
    <w:rsid w:val="00AC5AB8"/>
    <w:rsid w:val="00AD1515"/>
    <w:rsid w:val="00B05786"/>
    <w:rsid w:val="00B35362"/>
    <w:rsid w:val="00B35411"/>
    <w:rsid w:val="00B4124F"/>
    <w:rsid w:val="00B477D9"/>
    <w:rsid w:val="00B507D3"/>
    <w:rsid w:val="00B51CBC"/>
    <w:rsid w:val="00B602A4"/>
    <w:rsid w:val="00B643FE"/>
    <w:rsid w:val="00B67A3A"/>
    <w:rsid w:val="00B71EFC"/>
    <w:rsid w:val="00B80707"/>
    <w:rsid w:val="00BA34DC"/>
    <w:rsid w:val="00BA3BC3"/>
    <w:rsid w:val="00BA4AD9"/>
    <w:rsid w:val="00BA53D0"/>
    <w:rsid w:val="00BB4E52"/>
    <w:rsid w:val="00BB7CB0"/>
    <w:rsid w:val="00BC19B7"/>
    <w:rsid w:val="00BD23BE"/>
    <w:rsid w:val="00BD2647"/>
    <w:rsid w:val="00BD63B3"/>
    <w:rsid w:val="00BD77FB"/>
    <w:rsid w:val="00BF1B8B"/>
    <w:rsid w:val="00BF5A10"/>
    <w:rsid w:val="00C00D84"/>
    <w:rsid w:val="00C04132"/>
    <w:rsid w:val="00C10BAD"/>
    <w:rsid w:val="00C14C80"/>
    <w:rsid w:val="00C15F65"/>
    <w:rsid w:val="00C20C0A"/>
    <w:rsid w:val="00C441AF"/>
    <w:rsid w:val="00C60C83"/>
    <w:rsid w:val="00C63AB7"/>
    <w:rsid w:val="00C755E9"/>
    <w:rsid w:val="00C75DE4"/>
    <w:rsid w:val="00C76B2D"/>
    <w:rsid w:val="00C82C1B"/>
    <w:rsid w:val="00C835CE"/>
    <w:rsid w:val="00C91610"/>
    <w:rsid w:val="00C93B5B"/>
    <w:rsid w:val="00C93E23"/>
    <w:rsid w:val="00CA24C5"/>
    <w:rsid w:val="00CA2D75"/>
    <w:rsid w:val="00CA381F"/>
    <w:rsid w:val="00CA3A62"/>
    <w:rsid w:val="00CB2921"/>
    <w:rsid w:val="00CB6D57"/>
    <w:rsid w:val="00CC3F2D"/>
    <w:rsid w:val="00CC6644"/>
    <w:rsid w:val="00CE5B7B"/>
    <w:rsid w:val="00CF0EB1"/>
    <w:rsid w:val="00D01DE7"/>
    <w:rsid w:val="00D02981"/>
    <w:rsid w:val="00D05456"/>
    <w:rsid w:val="00D067F2"/>
    <w:rsid w:val="00D07FF4"/>
    <w:rsid w:val="00D129A1"/>
    <w:rsid w:val="00D24D9B"/>
    <w:rsid w:val="00D348CB"/>
    <w:rsid w:val="00D35144"/>
    <w:rsid w:val="00D37558"/>
    <w:rsid w:val="00D50565"/>
    <w:rsid w:val="00D50EF7"/>
    <w:rsid w:val="00D5322B"/>
    <w:rsid w:val="00D5340B"/>
    <w:rsid w:val="00D669EA"/>
    <w:rsid w:val="00D74A11"/>
    <w:rsid w:val="00D84A4B"/>
    <w:rsid w:val="00D84E62"/>
    <w:rsid w:val="00DA1044"/>
    <w:rsid w:val="00DB0656"/>
    <w:rsid w:val="00DD28B0"/>
    <w:rsid w:val="00DD361D"/>
    <w:rsid w:val="00DD3A25"/>
    <w:rsid w:val="00DD6197"/>
    <w:rsid w:val="00DE6EAF"/>
    <w:rsid w:val="00E0074D"/>
    <w:rsid w:val="00E01784"/>
    <w:rsid w:val="00E03804"/>
    <w:rsid w:val="00E16748"/>
    <w:rsid w:val="00E24982"/>
    <w:rsid w:val="00E250AA"/>
    <w:rsid w:val="00E440E9"/>
    <w:rsid w:val="00E473D9"/>
    <w:rsid w:val="00E57BE4"/>
    <w:rsid w:val="00E60DFE"/>
    <w:rsid w:val="00E61379"/>
    <w:rsid w:val="00E627EC"/>
    <w:rsid w:val="00E62EFE"/>
    <w:rsid w:val="00E64016"/>
    <w:rsid w:val="00E70E06"/>
    <w:rsid w:val="00E77135"/>
    <w:rsid w:val="00E9003E"/>
    <w:rsid w:val="00E9685A"/>
    <w:rsid w:val="00E97E06"/>
    <w:rsid w:val="00EA531A"/>
    <w:rsid w:val="00EB05F5"/>
    <w:rsid w:val="00EB74F1"/>
    <w:rsid w:val="00ED7135"/>
    <w:rsid w:val="00EE0258"/>
    <w:rsid w:val="00EE1F9E"/>
    <w:rsid w:val="00F2409C"/>
    <w:rsid w:val="00F40365"/>
    <w:rsid w:val="00F45692"/>
    <w:rsid w:val="00F57B8A"/>
    <w:rsid w:val="00F6182B"/>
    <w:rsid w:val="00F703F9"/>
    <w:rsid w:val="00F763B7"/>
    <w:rsid w:val="00F80C48"/>
    <w:rsid w:val="00F85E05"/>
    <w:rsid w:val="00F947A0"/>
    <w:rsid w:val="00FA0AE3"/>
    <w:rsid w:val="00FA0F51"/>
    <w:rsid w:val="00FA2601"/>
    <w:rsid w:val="00FA271A"/>
    <w:rsid w:val="00FA6880"/>
    <w:rsid w:val="00FB1813"/>
    <w:rsid w:val="00FB3B5F"/>
    <w:rsid w:val="00FC1B9D"/>
    <w:rsid w:val="00FC2331"/>
    <w:rsid w:val="00FC4BFA"/>
    <w:rsid w:val="00FC6C8E"/>
    <w:rsid w:val="00FC794F"/>
    <w:rsid w:val="00FD15A8"/>
    <w:rsid w:val="00FD3599"/>
    <w:rsid w:val="00FD5FAD"/>
    <w:rsid w:val="00FD7192"/>
    <w:rsid w:val="00FE3B20"/>
    <w:rsid w:val="00FF160E"/>
    <w:rsid w:val="0EA27973"/>
    <w:rsid w:val="19E21DE2"/>
    <w:rsid w:val="2B8A0008"/>
    <w:rsid w:val="33EF4793"/>
    <w:rsid w:val="59785FA8"/>
    <w:rsid w:val="5F2F1760"/>
    <w:rsid w:val="624278C9"/>
    <w:rsid w:val="64FB197B"/>
    <w:rsid w:val="7E561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nhideWhenUsed="0" w:uiPriority="0" w:semiHidden="0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iPriority w:val="0"/>
    <w:pPr>
      <w:autoSpaceDE w:val="0"/>
      <w:autoSpaceDN w:val="0"/>
      <w:adjustRightInd w:val="0"/>
      <w:spacing w:line="240" w:lineRule="auto"/>
      <w:ind w:firstLine="420" w:firstLineChars="0"/>
      <w:jc w:val="left"/>
    </w:pPr>
    <w:rPr>
      <w:rFonts w:ascii="宋体" w:hAnsi="Times New Roman"/>
      <w:kern w:val="0"/>
      <w:sz w:val="24"/>
      <w:szCs w:val="20"/>
    </w:rPr>
  </w:style>
  <w:style w:type="paragraph" w:styleId="3">
    <w:name w:val="Plain Text"/>
    <w:basedOn w:val="1"/>
    <w:link w:val="20"/>
    <w:uiPriority w:val="0"/>
    <w:pPr>
      <w:spacing w:line="240" w:lineRule="auto"/>
      <w:ind w:firstLine="0" w:firstLineChars="0"/>
    </w:pPr>
    <w:rPr>
      <w:rFonts w:ascii="宋体" w:hAnsi="Courier New"/>
      <w:szCs w:val="20"/>
    </w:rPr>
  </w:style>
  <w:style w:type="paragraph" w:styleId="4">
    <w:name w:val="Date"/>
    <w:basedOn w:val="1"/>
    <w:next w:val="1"/>
    <w:link w:val="15"/>
    <w:semiHidden/>
    <w:unhideWhenUsed/>
    <w:uiPriority w:val="99"/>
    <w:pPr>
      <w:ind w:left="100" w:leftChars="2500"/>
    </w:pPr>
  </w:style>
  <w:style w:type="paragraph" w:styleId="5">
    <w:name w:val="Balloon Text"/>
    <w:basedOn w:val="1"/>
    <w:link w:val="16"/>
    <w:semiHidden/>
    <w:unhideWhenUsed/>
    <w:uiPriority w:val="99"/>
    <w:pPr>
      <w:spacing w:line="240" w:lineRule="auto"/>
    </w:pPr>
    <w:rPr>
      <w:sz w:val="18"/>
      <w:szCs w:val="18"/>
    </w:rPr>
  </w:style>
  <w:style w:type="paragraph" w:styleId="6">
    <w:name w:val="footer"/>
    <w:basedOn w:val="1"/>
    <w:link w:val="13"/>
    <w:semiHidden/>
    <w:unhideWhenUsed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7">
    <w:name w:val="header"/>
    <w:basedOn w:val="1"/>
    <w:link w:val="12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9">
    <w:name w:val="Table Grid"/>
    <w:basedOn w:val="8"/>
    <w:uiPriority w:val="59"/>
    <w:rPr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Hyperlink"/>
    <w:basedOn w:val="10"/>
    <w:unhideWhenUsed/>
    <w:uiPriority w:val="99"/>
    <w:rPr>
      <w:color w:val="0000FF" w:themeColor="hyperlink"/>
      <w:u w:val="single"/>
    </w:rPr>
  </w:style>
  <w:style w:type="character" w:customStyle="1" w:styleId="12">
    <w:name w:val="页眉 Char"/>
    <w:basedOn w:val="10"/>
    <w:link w:val="7"/>
    <w:semiHidden/>
    <w:uiPriority w:val="99"/>
    <w:rPr>
      <w:rFonts w:ascii="Calibri" w:hAnsi="Calibri" w:eastAsia="宋体"/>
      <w:sz w:val="18"/>
      <w:szCs w:val="18"/>
    </w:rPr>
  </w:style>
  <w:style w:type="character" w:customStyle="1" w:styleId="13">
    <w:name w:val="页脚 Char"/>
    <w:basedOn w:val="10"/>
    <w:link w:val="6"/>
    <w:semiHidden/>
    <w:uiPriority w:val="99"/>
    <w:rPr>
      <w:rFonts w:ascii="Calibri" w:hAnsi="Calibri" w:eastAsia="宋体"/>
      <w:sz w:val="18"/>
      <w:szCs w:val="18"/>
    </w:rPr>
  </w:style>
  <w:style w:type="paragraph" w:styleId="14">
    <w:name w:val="List Paragraph"/>
    <w:basedOn w:val="1"/>
    <w:qFormat/>
    <w:uiPriority w:val="34"/>
    <w:pPr>
      <w:ind w:firstLine="420"/>
    </w:pPr>
  </w:style>
  <w:style w:type="character" w:customStyle="1" w:styleId="15">
    <w:name w:val="日期 Char"/>
    <w:basedOn w:val="10"/>
    <w:link w:val="4"/>
    <w:semiHidden/>
    <w:uiPriority w:val="99"/>
    <w:rPr>
      <w:rFonts w:ascii="Calibri" w:hAnsi="Calibri" w:eastAsia="宋体"/>
      <w:sz w:val="21"/>
      <w:szCs w:val="22"/>
    </w:rPr>
  </w:style>
  <w:style w:type="character" w:customStyle="1" w:styleId="16">
    <w:name w:val="批注框文本 Char"/>
    <w:basedOn w:val="10"/>
    <w:link w:val="5"/>
    <w:semiHidden/>
    <w:uiPriority w:val="99"/>
    <w:rPr>
      <w:rFonts w:ascii="Calibri" w:hAnsi="Calibri" w:eastAsia="宋体"/>
      <w:sz w:val="18"/>
      <w:szCs w:val="18"/>
    </w:rPr>
  </w:style>
  <w:style w:type="character" w:customStyle="1" w:styleId="17">
    <w:name w:val="font21"/>
    <w:qFormat/>
    <w:uiPriority w:val="0"/>
    <w:rPr>
      <w:rFonts w:ascii="Arial" w:hAnsi="Arial" w:eastAsia="宋体" w:cs="Times New Roman"/>
      <w:color w:val="000000"/>
      <w:sz w:val="22"/>
      <w:u w:val="none"/>
    </w:rPr>
  </w:style>
  <w:style w:type="character" w:customStyle="1" w:styleId="18">
    <w:name w:val="font11"/>
    <w:qFormat/>
    <w:uiPriority w:val="0"/>
    <w:rPr>
      <w:rFonts w:ascii="宋体" w:hAnsi="宋体" w:eastAsia="宋体" w:cs="Times New Roman"/>
      <w:color w:val="000000"/>
      <w:sz w:val="22"/>
      <w:u w:val="none"/>
    </w:rPr>
  </w:style>
  <w:style w:type="paragraph" w:customStyle="1" w:styleId="19">
    <w:name w:val="列出段落1"/>
    <w:basedOn w:val="1"/>
    <w:qFormat/>
    <w:uiPriority w:val="0"/>
    <w:pPr>
      <w:spacing w:line="240" w:lineRule="auto"/>
      <w:ind w:firstLine="420"/>
    </w:pPr>
  </w:style>
  <w:style w:type="character" w:customStyle="1" w:styleId="20">
    <w:name w:val="纯文本 Char"/>
    <w:basedOn w:val="10"/>
    <w:link w:val="3"/>
    <w:uiPriority w:val="0"/>
    <w:rPr>
      <w:rFonts w:ascii="宋体" w:hAnsi="Courier New" w:eastAsia="宋体" w:cs="Times New Roman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022594F-910F-4A46-AF76-B840BB86031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4</Pages>
  <Words>292</Words>
  <Characters>1669</Characters>
  <Lines>13</Lines>
  <Paragraphs>3</Paragraphs>
  <TotalTime>615</TotalTime>
  <ScaleCrop>false</ScaleCrop>
  <LinksUpToDate>false</LinksUpToDate>
  <CharactersWithSpaces>1958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2015-05-22T03:21:00Z</dcterms:created>
  <dc:creator>User</dc:creator>
  <cp:lastModifiedBy>Administrator</cp:lastModifiedBy>
  <cp:lastPrinted>2021-01-19T08:50:00Z</cp:lastPrinted>
  <dcterms:modified xsi:type="dcterms:W3CDTF">2022-04-02T02:43:28Z</dcterms:modified>
  <cp:revision>245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