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麻醉科电动吸引器采购项目招标公告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麻醉科电动吸引器采购项目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2023年2月23日上午10时；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采购数量：2台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预算价格:</w:t>
      </w:r>
      <w:r>
        <w:rPr>
          <w:rFonts w:hint="eastAsia" w:ascii="仿宋_GB2312" w:hAnsi="仿宋" w:eastAsia="仿宋_GB2312" w:cs="仿宋"/>
          <w:bCs/>
          <w:sz w:val="32"/>
          <w:szCs w:val="32"/>
        </w:rPr>
        <w:t>2000</w:t>
      </w: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>.00</w:t>
      </w:r>
      <w:bookmarkStart w:id="0" w:name="_GoBack"/>
      <w:bookmarkEnd w:id="0"/>
      <w:r>
        <w:rPr>
          <w:rFonts w:hint="eastAsia" w:ascii="仿宋_GB2312" w:hAnsi="仿宋" w:eastAsia="仿宋_GB2312" w:cs="仿宋"/>
          <w:bCs/>
          <w:sz w:val="32"/>
          <w:szCs w:val="32"/>
        </w:rPr>
        <w:t>元（大写：贰仟元整）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所投产品制造商《医疗器械经营许可证》、《医疗器械生产许可证》、《医疗器械注册证》（不属于医疗器械的除外）等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内容为：报价表、投标技术参数偏离表；所有投标文件需密封并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凡符合条件并有意向的供应商可携带相关资质及报价文件，于2023年2月23日9:55之前，将投标文件交到党政综合办公室。逾期未送达指定地点的投标文件，招标小组工作人员不予受理。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2023年2月20日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麻醉科电动吸引器采购项目招标技术参数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8" w:firstLineChars="1000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300" w:lineRule="exact"/>
              <w:ind w:firstLine="420"/>
              <w:jc w:val="center"/>
              <w:rPr>
                <w:rFonts w:hint="eastAsia" w:ascii="仿宋_GB2312" w:hAnsi="仿宋" w:eastAsia="仿宋_GB2312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  <w:t>电动吸引器</w:t>
            </w: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300" w:lineRule="exact"/>
              <w:ind w:firstLine="0" w:firstLineChars="0"/>
              <w:jc w:val="left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2台</w:t>
            </w:r>
          </w:p>
        </w:tc>
        <w:tc>
          <w:tcPr>
            <w:tcW w:w="8390" w:type="dxa"/>
          </w:tcPr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一、设备性能特点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1、该机选用大流量无油润滑真空泵作负压源，抽气速率高、负压上升快，无油雾污染，可免去泵体的日常维护和保养。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2、摆动式手拉杆，推拉自如；设备的附件箱内可放置脚踏开关及电源线等，移动或贮藏时更加方便。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3、大口径、大容量的贮液瓶，极易清洗；配上带密封环的瓶塞，密封性好且开启方便。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4、反应灵敏、可靠的溢流保护装置，可防止液体进入中间管道和泵内。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5、采用透明医用聚氯乙烯吸引软管，便于吸引时观察管内的液体；管道接头设计合理，管道连接方便、可靠。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6、负压调节阀可控制吸引时所需要的负压，负压值由真空表来显示。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7、机旁设有导管架和悬挂式清洗杯，使用时可放置吸引管。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8、设备结构紧凑、小巧；外型美观，其配置更加人性化。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 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二、主要技术参数要求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1、极限负压值：≥0.09MPa(680mmHg)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2、抽气速率：≥32L/Min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3、贮液瓶：2500mL×2(玻璃)(可配2L塑料瓶及一次性储液袋)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4、负压调节范围:0.02Mpa～极限负压值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5、噪声：≤60dB(A)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6、电源：AC220V 50Hz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7、输入功率：150VA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8、外包装尺寸：40cm×38cm×47cm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       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9、毛/净重：14kg/12kg</w:t>
            </w: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 xml:space="preserve"> </w:t>
            </w:r>
          </w:p>
        </w:tc>
      </w:tr>
    </w:tbl>
    <w:p>
      <w:pPr>
        <w:spacing w:line="300" w:lineRule="exact"/>
        <w:ind w:firstLine="0" w:firstLineChars="0"/>
        <w:rPr>
          <w:rFonts w:hint="eastAsia"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23E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906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2F4AE2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2397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B5610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C6708"/>
    <w:rsid w:val="005D06ED"/>
    <w:rsid w:val="005D2515"/>
    <w:rsid w:val="005E0572"/>
    <w:rsid w:val="005E30FB"/>
    <w:rsid w:val="005E6A90"/>
    <w:rsid w:val="00610B6F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302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3F52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13A5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C3BBA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C53C9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030F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0280A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0D7"/>
    <w:rsid w:val="00FF160E"/>
    <w:rsid w:val="035F3953"/>
    <w:rsid w:val="04B14E4D"/>
    <w:rsid w:val="0EA27973"/>
    <w:rsid w:val="19E21DE2"/>
    <w:rsid w:val="22CE6007"/>
    <w:rsid w:val="23590A04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1C1E52-E9A3-4564-9DB9-D4577172D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256</Words>
  <Characters>1461</Characters>
  <Lines>12</Lines>
  <Paragraphs>3</Paragraphs>
  <TotalTime>44</TotalTime>
  <ScaleCrop>false</ScaleCrop>
  <LinksUpToDate>false</LinksUpToDate>
  <CharactersWithSpaces>1714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2023-02-20T07:22:32Z</dcterms:modified>
  <cp:revision>324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