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“信用就医”项目建设开户银行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比选方案评选标准</w:t>
      </w:r>
    </w:p>
    <w:p>
      <w:pPr>
        <w:rPr>
          <w:rFonts w:hint="eastAsia"/>
          <w:sz w:val="24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昆明市人民政府办公室关于加快推进“信用就医”项目建设的通知》要求，昆明市西山区人民医院作为试点医院之一，为优化诊疗环节及医疗付费流程，实现“先看病后付费”便民服务，解决群众看病就诊“急难愁盼”问题，我单位拟就“信用就医”项目建设开户银行进行比选，比选方案评选标准细则如下：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一、经营状况：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考评得分按指标情况排名，数据按照总行公布2022年年报为准。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1.分项指标“净资产总额”考评得分由高到低排序，指标越高得分越高，第一名满分（5分），第二名得3分，第三名得1分；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2.分项指标“资本充足率”考评得分由高到低排序，指标越高得分越高，第一名满分（5分），第二名得3分，第三名得1分；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3.分项指标“不良贷款率”考评得分按高低排序，指标越低得分越高，第一名满分（10分），第二名得7分，第三名得5分；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4.分项指标“资产利润率率”考评得分由高到低排序，指标越高得分越高，第一名满分（10分），第二名得8分，第三名得5分；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5.分项指标“流动性比例”考评得分由高到低排序，指标越高得分越高，第一名满分（10分），第二名得8分，第三名得5分。</w:t>
      </w:r>
    </w:p>
    <w:p>
      <w:pPr>
        <w:numPr>
          <w:numId w:val="0"/>
        </w:numPr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二、服务水平：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1.分项指标“西山区网点数量”考评得分按指标情况排名，第一名得满分（5分），第二名得3分，第三名得1分；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2.分项指标“具备专属服务团队”指标情况为“是”考评得分为满分（10分），指标情况为“否”考评得分为4分；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3.分项指标“具备与昆明市医疗保障局签订“信用就医”业务合作协议”指标情况为“是”考评得分为满分（10分），指标情况为“否”考评得分为4分；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4.分项指标“具备信用就医产品”指标情况为“是”考评得分为满分（15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分），指标情况为“否”考评得分为6分；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5.分项指标“具备在昆明市有成熟“信用就医”案例”指标情况为“是”考评得分为满分（20分），指标情况为“否”考评得分为8分。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开户银行评分指标</w:t>
      </w:r>
      <w:r>
        <w:rPr>
          <w:rFonts w:hint="eastAsia"/>
          <w:sz w:val="18"/>
          <w:szCs w:val="18"/>
        </w:rPr>
        <w:t xml:space="preserve">                                                             </w:t>
      </w:r>
    </w:p>
    <w:tbl>
      <w:tblPr>
        <w:tblStyle w:val="3"/>
        <w:tblW w:w="8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691"/>
        <w:gridCol w:w="1753"/>
        <w:gridCol w:w="884"/>
        <w:gridCol w:w="831"/>
        <w:gridCol w:w="973"/>
        <w:gridCol w:w="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类别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分项指标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指标情况</w:t>
            </w: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分值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权重</w:t>
            </w: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总分值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权重</w:t>
            </w: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考评得分</w:t>
            </w: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181" w:type="dxa"/>
            <w:vMerge w:val="restart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经营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状况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2年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净资产总额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5%</w:t>
            </w:r>
          </w:p>
        </w:tc>
        <w:tc>
          <w:tcPr>
            <w:tcW w:w="831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资本充足率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不良贷款率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资产利润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流动性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比率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181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服务水平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西山区网点数量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831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60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具备专属服务团队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具备与昆明市医疗保障局签订“信用就医”业务合作协议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具备信用就医产品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15%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具备在昆明市有成熟“信用就医”案例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合计</w:t>
            </w:r>
          </w:p>
        </w:tc>
        <w:tc>
          <w:tcPr>
            <w:tcW w:w="169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100%</w:t>
            </w: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100%</w:t>
            </w: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</w:tbl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4YjZiNDMyN2JkMjI1NjEzNjBiNWNmZDU0MjgyZmEifQ=="/>
  </w:docVars>
  <w:rsids>
    <w:rsidRoot w:val="7DA2318E"/>
    <w:rsid w:val="05377D0A"/>
    <w:rsid w:val="0ACB75EC"/>
    <w:rsid w:val="11484610"/>
    <w:rsid w:val="117071BD"/>
    <w:rsid w:val="252E430E"/>
    <w:rsid w:val="256A7A01"/>
    <w:rsid w:val="30EB2237"/>
    <w:rsid w:val="317074AE"/>
    <w:rsid w:val="32A2763D"/>
    <w:rsid w:val="59992D89"/>
    <w:rsid w:val="72F568BF"/>
    <w:rsid w:val="7D2F5505"/>
    <w:rsid w:val="7DA231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639</Words>
  <Characters>674</Characters>
  <Lines>0</Lines>
  <Paragraphs>0</Paragraphs>
  <TotalTime>8</TotalTime>
  <ScaleCrop>false</ScaleCrop>
  <LinksUpToDate>false</LinksUpToDate>
  <CharactersWithSpaces>741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2023-02-01T01:27:00Z</dcterms:created>
  <dc:creator>杨珍</dc:creator>
  <cp:lastModifiedBy>45°仰望天空</cp:lastModifiedBy>
  <dcterms:modified xsi:type="dcterms:W3CDTF">2023-05-23T01:58:49Z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A72C1ADD345842A9958B379BABF2B2B7</vt:lpwstr>
  </property>
</Properties>
</file>