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584"/>
        <w:gridCol w:w="2227"/>
        <w:gridCol w:w="2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2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可回收非医疗废物固定回收公司采购项目</w:t>
            </w:r>
          </w:p>
        </w:tc>
        <w:tc>
          <w:tcPr>
            <w:tcW w:w="22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心理测评系统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22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50000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签到机采购项目</w:t>
            </w:r>
          </w:p>
        </w:tc>
        <w:tc>
          <w:tcPr>
            <w:tcW w:w="22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1000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数量：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普通中小型设备维保服务采购项目</w:t>
            </w:r>
          </w:p>
        </w:tc>
        <w:tc>
          <w:tcPr>
            <w:tcW w:w="22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18900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维保服务费预算金额为18900元/年，服务期限1年；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2.维修常用配件预算金额详见附件2。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lang w:eastAsia="zh-CN"/>
        </w:rPr>
        <w:t>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19B3632"/>
    <w:rsid w:val="21F158C2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B351C17"/>
    <w:rsid w:val="5C913B14"/>
    <w:rsid w:val="5DF36D22"/>
    <w:rsid w:val="600D7368"/>
    <w:rsid w:val="60435F93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3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2023-09-25T08:42:47Z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