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ascii="方正小标宋简体" w:hAnsi="方正小标宋简体" w:eastAsia="方正小标宋简体" w:cs="方正小标宋简体"/>
          <w:b/>
          <w:bCs w:val="0"/>
          <w:sz w:val="44"/>
          <w:szCs w:val="44"/>
        </w:rPr>
      </w:pPr>
      <w:r>
        <w:rPr>
          <w:rFonts w:hint="eastAsia" w:ascii="方正小标宋简体" w:hAnsi="方正小标宋简体" w:eastAsia="方正小标宋简体" w:cs="方正小标宋简体"/>
          <w:b/>
          <w:bCs w:val="0"/>
          <w:sz w:val="44"/>
          <w:szCs w:val="44"/>
        </w:rPr>
        <w:t>昆明市西山区人民医院</w:t>
      </w:r>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center"/>
        <w:textAlignment w:val="auto"/>
        <w:rPr>
          <w:rFonts w:ascii="方正小标宋简体" w:hAnsi="方正小标宋简体" w:eastAsia="方正小标宋简体" w:cs="方正小标宋简体"/>
          <w:b/>
          <w:bCs w:val="0"/>
          <w:sz w:val="44"/>
          <w:szCs w:val="44"/>
        </w:rPr>
      </w:pPr>
      <w:bookmarkStart w:id="1" w:name="_GoBack"/>
      <w:r>
        <w:rPr>
          <w:rFonts w:hint="eastAsia" w:ascii="方正小标宋简体" w:hAnsi="方正小标宋简体" w:eastAsia="方正小标宋简体" w:cs="方正小标宋简体"/>
          <w:b/>
          <w:bCs w:val="0"/>
          <w:sz w:val="44"/>
          <w:szCs w:val="44"/>
          <w:lang w:val="en-US" w:eastAsia="zh-CN"/>
        </w:rPr>
        <w:t>心理测评系统</w:t>
      </w:r>
      <w:r>
        <w:rPr>
          <w:rFonts w:hint="eastAsia" w:ascii="方正小标宋简体" w:hAnsi="方正小标宋简体" w:eastAsia="方正小标宋简体" w:cs="方正小标宋简体"/>
          <w:b/>
          <w:bCs w:val="0"/>
          <w:sz w:val="44"/>
          <w:szCs w:val="44"/>
        </w:rPr>
        <w:t>等项目招标公告</w:t>
      </w:r>
    </w:p>
    <w:bookmarkEnd w:id="1"/>
    <w:p>
      <w:pPr>
        <w:spacing w:line="550" w:lineRule="exact"/>
        <w:ind w:firstLine="0" w:firstLineChars="0"/>
        <w:jc w:val="center"/>
        <w:rPr>
          <w:rFonts w:asciiTheme="majorEastAsia" w:hAnsiTheme="majorEastAsia" w:eastAsiaTheme="majorEastAsia"/>
          <w:b/>
          <w:color w:val="000000" w:themeColor="text1"/>
          <w:sz w:val="44"/>
          <w:szCs w:val="44"/>
          <w14:textFill>
            <w14:solidFill>
              <w14:schemeClr w14:val="tx1"/>
            </w14:solidFill>
          </w14:textFill>
        </w:rPr>
      </w:pPr>
    </w:p>
    <w:p>
      <w:pPr>
        <w:spacing w:line="560" w:lineRule="exact"/>
        <w:ind w:firstLine="640"/>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一、项目名称</w:t>
      </w:r>
    </w:p>
    <w:p>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心理测评系统</w:t>
      </w:r>
      <w:r>
        <w:rPr>
          <w:rFonts w:hint="eastAsia" w:ascii="仿宋_GB2312" w:hAnsi="仿宋_GB2312" w:eastAsia="仿宋_GB2312" w:cs="仿宋_GB2312"/>
          <w:color w:val="000000" w:themeColor="text1"/>
          <w:sz w:val="32"/>
          <w:szCs w:val="32"/>
          <w14:textFill>
            <w14:solidFill>
              <w14:schemeClr w14:val="tx1"/>
            </w14:solidFill>
          </w14:textFill>
        </w:rPr>
        <w:t>等项目（询价采购）。</w:t>
      </w:r>
    </w:p>
    <w:p>
      <w:pPr>
        <w:spacing w:line="560" w:lineRule="exact"/>
        <w:ind w:firstLine="640"/>
        <w:jc w:val="left"/>
        <w:rPr>
          <w:rFonts w:ascii="黑体" w:hAnsi="黑体" w:eastAsia="黑体" w:cs="黑体"/>
          <w:sz w:val="32"/>
          <w:szCs w:val="32"/>
        </w:rPr>
      </w:pPr>
      <w:r>
        <w:rPr>
          <w:rFonts w:ascii="黑体" w:hAnsi="黑体" w:eastAsia="黑体" w:cs="黑体"/>
          <w:sz w:val="32"/>
          <w:szCs w:val="32"/>
        </w:rPr>
        <w:t>二、采购方</w:t>
      </w:r>
      <w:r>
        <w:rPr>
          <w:rFonts w:hint="eastAsia" w:ascii="黑体" w:hAnsi="黑体" w:eastAsia="黑体" w:cs="黑体"/>
          <w:sz w:val="32"/>
          <w:szCs w:val="32"/>
        </w:rPr>
        <w:t>、采购时间及地点</w:t>
      </w:r>
    </w:p>
    <w:p>
      <w:pPr>
        <w:spacing w:line="560" w:lineRule="exact"/>
        <w:ind w:firstLine="640"/>
        <w:jc w:val="left"/>
        <w:rPr>
          <w:rFonts w:ascii="Times New Roman" w:hAnsi="Times New Roman" w:eastAsia="仿宋_GB2312"/>
          <w:sz w:val="32"/>
          <w:szCs w:val="32"/>
        </w:rPr>
      </w:pPr>
      <w:r>
        <w:rPr>
          <w:rFonts w:hint="eastAsia" w:ascii="Times New Roman" w:hAnsi="Times New Roman" w:eastAsia="仿宋_GB2312"/>
          <w:sz w:val="32"/>
          <w:szCs w:val="32"/>
        </w:rPr>
        <w:t>采购方：</w:t>
      </w:r>
      <w:r>
        <w:rPr>
          <w:rFonts w:ascii="Times New Roman" w:hAnsi="Times New Roman" w:eastAsia="仿宋_GB2312"/>
          <w:sz w:val="32"/>
          <w:szCs w:val="32"/>
        </w:rPr>
        <w:t>昆明市西山区人民医院</w:t>
      </w:r>
      <w:r>
        <w:rPr>
          <w:rFonts w:hint="eastAsia" w:ascii="Times New Roman" w:hAnsi="Times New Roman" w:eastAsia="仿宋_GB2312"/>
          <w:sz w:val="32"/>
          <w:szCs w:val="32"/>
        </w:rPr>
        <w:t>；</w:t>
      </w:r>
    </w:p>
    <w:p>
      <w:pPr>
        <w:spacing w:line="560" w:lineRule="exact"/>
        <w:ind w:firstLine="640"/>
        <w:jc w:val="left"/>
        <w:rPr>
          <w:rFonts w:ascii="Times New Roman" w:hAnsi="Times New Roman" w:eastAsia="仿宋_GB2312"/>
          <w:sz w:val="32"/>
          <w:szCs w:val="32"/>
        </w:rPr>
      </w:pPr>
      <w:r>
        <w:rPr>
          <w:rFonts w:ascii="Times New Roman" w:hAnsi="Times New Roman" w:eastAsia="仿宋_GB2312"/>
          <w:sz w:val="32"/>
          <w:szCs w:val="32"/>
        </w:rPr>
        <w:t>时间：202</w:t>
      </w:r>
      <w:r>
        <w:rPr>
          <w:rFonts w:hint="eastAsia" w:ascii="Times New Roman" w:hAnsi="Times New Roman" w:eastAsia="仿宋_GB2312"/>
          <w:sz w:val="32"/>
          <w:szCs w:val="32"/>
        </w:rPr>
        <w:t>3</w:t>
      </w:r>
      <w:r>
        <w:rPr>
          <w:rFonts w:ascii="Times New Roman" w:hAnsi="Times New Roman" w:eastAsia="仿宋_GB2312"/>
          <w:sz w:val="32"/>
          <w:szCs w:val="32"/>
        </w:rPr>
        <w:t>年</w:t>
      </w:r>
      <w:r>
        <w:rPr>
          <w:rFonts w:hint="eastAsia" w:ascii="Times New Roman" w:hAnsi="Times New Roman" w:eastAsia="仿宋_GB2312"/>
          <w:sz w:val="32"/>
          <w:szCs w:val="32"/>
        </w:rPr>
        <w:t>9</w:t>
      </w:r>
      <w:r>
        <w:rPr>
          <w:rFonts w:ascii="Times New Roman" w:hAnsi="Times New Roman" w:eastAsia="仿宋_GB2312"/>
          <w:sz w:val="32"/>
          <w:szCs w:val="32"/>
        </w:rPr>
        <w:t>月</w:t>
      </w:r>
      <w:r>
        <w:rPr>
          <w:rFonts w:hint="eastAsia" w:ascii="Times New Roman" w:hAnsi="Times New Roman" w:eastAsia="仿宋_GB2312"/>
          <w:sz w:val="32"/>
          <w:szCs w:val="32"/>
          <w:lang w:val="en-US" w:eastAsia="zh-CN"/>
        </w:rPr>
        <w:t>28</w:t>
      </w:r>
      <w:r>
        <w:rPr>
          <w:rFonts w:ascii="Times New Roman" w:hAnsi="Times New Roman" w:eastAsia="仿宋_GB2312"/>
          <w:sz w:val="32"/>
          <w:szCs w:val="32"/>
        </w:rPr>
        <w:t>日上午10：00时</w:t>
      </w:r>
      <w:r>
        <w:rPr>
          <w:rFonts w:hint="eastAsia" w:ascii="Times New Roman" w:hAnsi="Times New Roman" w:eastAsia="仿宋_GB2312"/>
          <w:sz w:val="32"/>
          <w:szCs w:val="32"/>
        </w:rPr>
        <w:t>；</w:t>
      </w:r>
    </w:p>
    <w:p>
      <w:pPr>
        <w:spacing w:line="560" w:lineRule="exact"/>
        <w:ind w:firstLine="640"/>
        <w:rPr>
          <w:rFonts w:ascii="Times New Roman" w:hAnsi="Times New Roman" w:eastAsia="仿宋_GB2312"/>
          <w:sz w:val="32"/>
          <w:szCs w:val="32"/>
        </w:rPr>
      </w:pPr>
      <w:r>
        <w:rPr>
          <w:rFonts w:ascii="Times New Roman" w:hAnsi="Times New Roman" w:eastAsia="仿宋_GB2312"/>
          <w:sz w:val="32"/>
          <w:szCs w:val="32"/>
        </w:rPr>
        <w:t>地点：昆明市西山区人民医院4楼多功能厅</w:t>
      </w:r>
      <w:r>
        <w:rPr>
          <w:rFonts w:hint="eastAsia" w:ascii="Times New Roman" w:hAnsi="Times New Roman" w:eastAsia="仿宋_GB2312"/>
          <w:sz w:val="32"/>
          <w:szCs w:val="32"/>
        </w:rPr>
        <w:t>。</w:t>
      </w:r>
    </w:p>
    <w:p>
      <w:pPr>
        <w:spacing w:line="560" w:lineRule="exact"/>
        <w:ind w:firstLine="640"/>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三、技术参数及要求</w:t>
      </w:r>
    </w:p>
    <w:p>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详见附件1。</w:t>
      </w:r>
    </w:p>
    <w:p>
      <w:pPr>
        <w:spacing w:line="560" w:lineRule="exact"/>
        <w:ind w:firstLine="640"/>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四、供货期</w:t>
      </w:r>
    </w:p>
    <w:p>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自签订采购合同起7个工作日内。</w:t>
      </w:r>
    </w:p>
    <w:p>
      <w:pPr>
        <w:spacing w:line="560" w:lineRule="exact"/>
        <w:ind w:firstLine="640"/>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五、预算价格</w:t>
      </w:r>
    </w:p>
    <w:p>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50000</w:t>
      </w:r>
      <w:r>
        <w:rPr>
          <w:rFonts w:hint="eastAsia" w:ascii="仿宋_GB2312" w:hAnsi="仿宋_GB2312" w:eastAsia="仿宋_GB2312" w:cs="仿宋_GB2312"/>
          <w:color w:val="000000" w:themeColor="text1"/>
          <w:sz w:val="32"/>
          <w:szCs w:val="32"/>
          <w14:textFill>
            <w14:solidFill>
              <w14:schemeClr w14:val="tx1"/>
            </w14:solidFill>
          </w14:textFill>
        </w:rPr>
        <w:t>.00元（大写：</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伍</w:t>
      </w:r>
      <w:r>
        <w:rPr>
          <w:rFonts w:hint="eastAsia" w:ascii="仿宋_GB2312" w:hAnsi="仿宋_GB2312" w:eastAsia="仿宋_GB2312" w:cs="仿宋_GB2312"/>
          <w:color w:val="000000" w:themeColor="text1"/>
          <w:sz w:val="32"/>
          <w:szCs w:val="32"/>
          <w14:textFill>
            <w14:solidFill>
              <w14:schemeClr w14:val="tx1"/>
            </w14:solidFill>
          </w14:textFill>
        </w:rPr>
        <w:t>万元整），报价不得超预算。</w:t>
      </w:r>
    </w:p>
    <w:p>
      <w:pPr>
        <w:spacing w:line="560" w:lineRule="exact"/>
        <w:ind w:firstLine="640"/>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六、合格的投标人要求</w:t>
      </w:r>
    </w:p>
    <w:p>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（一）营业执照复印件、税务登记证复印件、</w:t>
      </w:r>
      <w:r>
        <w:rPr>
          <w:rFonts w:hint="eastAsia" w:ascii="仿宋_GB2312" w:hAnsi="仿宋_GB2312" w:eastAsia="仿宋_GB2312" w:cs="仿宋_GB2312"/>
          <w:sz w:val="31"/>
          <w:szCs w:val="31"/>
        </w:rPr>
        <w:t>组织机构代码证复印件（或三证合一，带二维码），须加盖贵公司公章，否则视为无效文件，且资质文件在有效期内</w:t>
      </w:r>
      <w:r>
        <w:rPr>
          <w:rFonts w:hint="eastAsia" w:ascii="仿宋_GB2312" w:hAnsi="仿宋_GB2312" w:eastAsia="仿宋_GB2312" w:cs="仿宋_GB2312"/>
          <w:sz w:val="32"/>
          <w:szCs w:val="32"/>
        </w:rPr>
        <w:t>；</w:t>
      </w:r>
    </w:p>
    <w:p>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（二）具有相应经营范围的独立法人或其他组织；</w:t>
      </w:r>
    </w:p>
    <w:p>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（三）具有独立承担民事责任能力；</w:t>
      </w:r>
    </w:p>
    <w:p>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（四）具有良好的商业信誉和健全的财务制度；</w:t>
      </w:r>
    </w:p>
    <w:p>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（五）具有履行合同所必需的设备和专业技术能力；</w:t>
      </w:r>
    </w:p>
    <w:p>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（六）投标在近三年内无行贿犯罪记录；</w:t>
      </w:r>
    </w:p>
    <w:p>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（七）法人代表授权书、以及被授权代表身份证复印件。</w:t>
      </w:r>
    </w:p>
    <w:p>
      <w:pPr>
        <w:spacing w:line="560" w:lineRule="exact"/>
        <w:ind w:firstLine="640"/>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七、售后服务</w:t>
      </w:r>
    </w:p>
    <w:p>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 xml:space="preserve">（一）供货企业所投产品、规格必须满足《昆明市西山区人民医院集中采购管理暂行办法》要求，质量必须符合国家相关部门标准。 </w:t>
      </w:r>
    </w:p>
    <w:p>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（二）在产品质量保证期间，出现质量问题，供货企业应无条件接受退货并迅速作出调换，不得影响医院业务正常运转，所有费用由供货企业承担。</w:t>
      </w:r>
    </w:p>
    <w:p>
      <w:pPr>
        <w:spacing w:line="560" w:lineRule="exact"/>
        <w:ind w:firstLine="640"/>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八、投标人投标流程</w:t>
      </w:r>
    </w:p>
    <w:p>
      <w:pPr>
        <w:spacing w:line="560" w:lineRule="exact"/>
        <w:ind w:firstLine="640"/>
        <w:rPr>
          <w:rFonts w:ascii="仿宋_GB2312" w:hAnsi="Times New Roman" w:eastAsia="仿宋_GB2312"/>
          <w:sz w:val="32"/>
          <w:szCs w:val="32"/>
        </w:rPr>
      </w:pPr>
      <w:r>
        <w:rPr>
          <w:rFonts w:ascii="Times New Roman" w:hAnsi="Times New Roman" w:eastAsia="仿宋_GB2312"/>
          <w:color w:val="000000" w:themeColor="text1"/>
          <w:sz w:val="32"/>
          <w:szCs w:val="32"/>
          <w14:textFill>
            <w14:solidFill>
              <w14:schemeClr w14:val="tx1"/>
            </w14:solidFill>
          </w14:textFill>
        </w:rPr>
        <w:t>凡符合条件并有意向的供应商可携带相关资质及报价文件，于202</w:t>
      </w:r>
      <w:r>
        <w:rPr>
          <w:rFonts w:hint="eastAsia" w:ascii="Times New Roman" w:hAnsi="Times New Roman" w:eastAsia="仿宋_GB2312"/>
          <w:color w:val="000000" w:themeColor="text1"/>
          <w:sz w:val="32"/>
          <w:szCs w:val="32"/>
          <w14:textFill>
            <w14:solidFill>
              <w14:schemeClr w14:val="tx1"/>
            </w14:solidFill>
          </w14:textFill>
        </w:rPr>
        <w:t>3</w:t>
      </w:r>
      <w:r>
        <w:rPr>
          <w:rFonts w:ascii="Times New Roman" w:hAnsi="Times New Roman" w:eastAsia="仿宋_GB2312"/>
          <w:color w:val="000000" w:themeColor="text1"/>
          <w:sz w:val="32"/>
          <w:szCs w:val="32"/>
          <w14:textFill>
            <w14:solidFill>
              <w14:schemeClr w14:val="tx1"/>
            </w14:solidFill>
          </w14:textFill>
        </w:rPr>
        <w:t>年</w:t>
      </w:r>
      <w:r>
        <w:rPr>
          <w:rFonts w:hint="eastAsia" w:ascii="Times New Roman" w:hAnsi="Times New Roman" w:eastAsia="仿宋_GB2312"/>
          <w:color w:val="000000" w:themeColor="text1"/>
          <w:sz w:val="32"/>
          <w:szCs w:val="32"/>
          <w14:textFill>
            <w14:solidFill>
              <w14:schemeClr w14:val="tx1"/>
            </w14:solidFill>
          </w14:textFill>
        </w:rPr>
        <w:t>9</w:t>
      </w:r>
      <w:r>
        <w:rPr>
          <w:rFonts w:ascii="Times New Roman" w:hAnsi="Times New Roman" w:eastAsia="仿宋_GB2312"/>
          <w:color w:val="000000" w:themeColor="text1"/>
          <w:sz w:val="32"/>
          <w:szCs w:val="32"/>
          <w14:textFill>
            <w14:solidFill>
              <w14:schemeClr w14:val="tx1"/>
            </w14:solidFill>
          </w14:textFill>
        </w:rPr>
        <w:t>月</w:t>
      </w:r>
      <w:r>
        <w:rPr>
          <w:rFonts w:hint="eastAsia" w:ascii="Times New Roman" w:hAnsi="Times New Roman" w:eastAsia="仿宋_GB2312"/>
          <w:color w:val="000000" w:themeColor="text1"/>
          <w:sz w:val="32"/>
          <w:szCs w:val="32"/>
          <w:lang w:val="en-US" w:eastAsia="zh-CN"/>
          <w14:textFill>
            <w14:solidFill>
              <w14:schemeClr w14:val="tx1"/>
            </w14:solidFill>
          </w14:textFill>
        </w:rPr>
        <w:t>28</w:t>
      </w:r>
      <w:r>
        <w:rPr>
          <w:rFonts w:ascii="Times New Roman" w:hAnsi="Times New Roman" w:eastAsia="仿宋_GB2312"/>
          <w:color w:val="000000" w:themeColor="text1"/>
          <w:sz w:val="32"/>
          <w:szCs w:val="32"/>
          <w14:textFill>
            <w14:solidFill>
              <w14:schemeClr w14:val="tx1"/>
            </w14:solidFill>
          </w14:textFill>
        </w:rPr>
        <w:t>日9:55之前，将投标文件交到党政综合办公室。逾期未送达指定地点的投标文件，招标</w:t>
      </w:r>
      <w:r>
        <w:rPr>
          <w:rFonts w:hint="eastAsia" w:ascii="Times New Roman" w:hAnsi="Times New Roman" w:eastAsia="仿宋_GB2312"/>
          <w:color w:val="000000" w:themeColor="text1"/>
          <w:sz w:val="32"/>
          <w:szCs w:val="32"/>
          <w14:textFill>
            <w14:solidFill>
              <w14:schemeClr w14:val="tx1"/>
            </w14:solidFill>
          </w14:textFill>
        </w:rPr>
        <w:t>小组工作人员</w:t>
      </w:r>
      <w:r>
        <w:rPr>
          <w:rFonts w:ascii="Times New Roman" w:hAnsi="Times New Roman" w:eastAsia="仿宋_GB2312"/>
          <w:color w:val="000000" w:themeColor="text1"/>
          <w:sz w:val="32"/>
          <w:szCs w:val="32"/>
          <w14:textFill>
            <w14:solidFill>
              <w14:schemeClr w14:val="tx1"/>
            </w14:solidFill>
          </w14:textFill>
        </w:rPr>
        <w:t>不予受理</w:t>
      </w:r>
      <w:r>
        <w:rPr>
          <w:rFonts w:hint="eastAsia" w:ascii="Times New Roman" w:hAnsi="Times New Roman" w:eastAsia="仿宋_GB2312"/>
          <w:color w:val="000000" w:themeColor="text1"/>
          <w:sz w:val="32"/>
          <w:szCs w:val="32"/>
          <w14:textFill>
            <w14:solidFill>
              <w14:schemeClr w14:val="tx1"/>
            </w14:solidFill>
          </w14:textFill>
        </w:rPr>
        <w:t>。</w:t>
      </w:r>
    </w:p>
    <w:p>
      <w:pPr>
        <w:spacing w:line="560" w:lineRule="exact"/>
        <w:ind w:firstLine="640"/>
        <w:rPr>
          <w:rFonts w:ascii="黑体" w:hAnsi="黑体" w:eastAsia="黑体" w:cs="黑体"/>
          <w:sz w:val="32"/>
          <w:szCs w:val="32"/>
        </w:rPr>
      </w:pPr>
      <w:r>
        <w:rPr>
          <w:rFonts w:hint="eastAsia" w:ascii="黑体" w:hAnsi="黑体" w:eastAsia="黑体"/>
          <w:color w:val="000000" w:themeColor="text1"/>
          <w:sz w:val="32"/>
          <w:szCs w:val="32"/>
          <w14:textFill>
            <w14:solidFill>
              <w14:schemeClr w14:val="tx1"/>
            </w14:solidFill>
          </w14:textFill>
        </w:rPr>
        <w:t>九、</w:t>
      </w:r>
      <w:r>
        <w:rPr>
          <w:rFonts w:hint="eastAsia" w:ascii="黑体" w:hAnsi="黑体" w:eastAsia="黑体" w:cs="黑体"/>
          <w:sz w:val="32"/>
          <w:szCs w:val="32"/>
        </w:rPr>
        <w:t>招标结果公示</w:t>
      </w:r>
    </w:p>
    <w:p>
      <w:pPr>
        <w:spacing w:line="560" w:lineRule="exact"/>
        <w:ind w:firstLine="640"/>
        <w:rPr>
          <w:rFonts w:ascii="仿宋_GB2312" w:hAnsi="Times New Roman" w:eastAsia="仿宋_GB2312"/>
          <w:color w:val="FF0000"/>
          <w:sz w:val="32"/>
          <w:szCs w:val="32"/>
        </w:rPr>
      </w:pPr>
      <w:r>
        <w:rPr>
          <w:rFonts w:hint="eastAsia" w:ascii="仿宋_GB2312" w:hAnsi="仿宋_GB2312" w:eastAsia="仿宋_GB2312" w:cs="仿宋_GB2312"/>
          <w:sz w:val="32"/>
          <w:szCs w:val="32"/>
        </w:rPr>
        <w:t>（一）</w:t>
      </w:r>
      <w:r>
        <w:rPr>
          <w:rFonts w:ascii="Times New Roman" w:hAnsi="Times New Roman" w:eastAsia="仿宋_GB2312"/>
          <w:sz w:val="32"/>
          <w:szCs w:val="32"/>
        </w:rPr>
        <w:t>经我院招标会议后将进行招标结果公示，待公示期结束无异议后，将通知中标供应商，未中标的供应商将不再另行通知，敬请谅解。</w:t>
      </w:r>
    </w:p>
    <w:p>
      <w:pPr>
        <w:spacing w:line="560" w:lineRule="exact"/>
        <w:ind w:firstLine="640"/>
        <w:rPr>
          <w:rFonts w:ascii="楷体_GB2312" w:hAnsi="楷体_GB2312" w:eastAsia="楷体_GB2312" w:cs="楷体_GB2312"/>
          <w:sz w:val="32"/>
          <w:szCs w:val="32"/>
        </w:rPr>
      </w:pPr>
      <w:r>
        <w:rPr>
          <w:rFonts w:hint="eastAsia" w:ascii="仿宋_GB2312" w:hAnsi="仿宋_GB2312" w:eastAsia="仿宋_GB2312" w:cs="仿宋_GB2312"/>
          <w:sz w:val="32"/>
          <w:szCs w:val="32"/>
        </w:rPr>
        <w:t>（二）</w:t>
      </w:r>
      <w:r>
        <w:rPr>
          <w:rFonts w:hint="eastAsia" w:ascii="楷体_GB2312" w:hAnsi="楷体_GB2312" w:eastAsia="楷体_GB2312" w:cs="楷体_GB2312"/>
          <w:sz w:val="32"/>
          <w:szCs w:val="32"/>
        </w:rPr>
        <w:t>招标结果公示地点</w:t>
      </w:r>
    </w:p>
    <w:p>
      <w:pPr>
        <w:spacing w:line="560" w:lineRule="exact"/>
        <w:ind w:firstLine="640"/>
        <w:jc w:val="left"/>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昆明市西山区人民医院官网：https://www.xsqrmyy.net/。</w:t>
      </w:r>
    </w:p>
    <w:p>
      <w:pPr>
        <w:spacing w:line="560" w:lineRule="exact"/>
        <w:ind w:firstLine="640"/>
        <w:rPr>
          <w:rFonts w:ascii="华文楷体" w:hAnsi="华文楷体" w:eastAsia="华文楷体"/>
          <w:sz w:val="32"/>
          <w:szCs w:val="32"/>
        </w:rPr>
      </w:pPr>
      <w:r>
        <w:rPr>
          <w:rFonts w:hint="eastAsia" w:ascii="仿宋_GB2312" w:hAnsi="仿宋_GB2312" w:eastAsia="仿宋_GB2312" w:cs="仿宋_GB2312"/>
          <w:sz w:val="32"/>
          <w:szCs w:val="32"/>
        </w:rPr>
        <w:t>（三）</w:t>
      </w:r>
      <w:r>
        <w:rPr>
          <w:rFonts w:hint="eastAsia" w:ascii="华文楷体" w:hAnsi="华文楷体" w:eastAsia="华文楷体"/>
          <w:sz w:val="32"/>
          <w:szCs w:val="32"/>
        </w:rPr>
        <w:t>招标结果公示期</w:t>
      </w:r>
    </w:p>
    <w:p>
      <w:pPr>
        <w:spacing w:line="560" w:lineRule="exact"/>
        <w:ind w:firstLine="640"/>
        <w:rPr>
          <w:rFonts w:ascii="仿宋_GB2312" w:hAnsi="宋体" w:eastAsia="仿宋_GB2312"/>
          <w:sz w:val="32"/>
          <w:szCs w:val="32"/>
        </w:rPr>
      </w:pPr>
      <w:r>
        <w:rPr>
          <w:rFonts w:hint="eastAsia" w:ascii="仿宋_GB2312" w:hAnsi="宋体" w:eastAsia="仿宋_GB2312"/>
          <w:sz w:val="32"/>
          <w:szCs w:val="32"/>
        </w:rPr>
        <w:t>自采购开标当天之日起1天。</w:t>
      </w:r>
    </w:p>
    <w:p>
      <w:pPr>
        <w:spacing w:line="560" w:lineRule="exact"/>
        <w:ind w:firstLine="640"/>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十、联系方式</w:t>
      </w:r>
    </w:p>
    <w:p>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（一）地址：昆明市西山区人民医院（昆明市西山区益宁路与西苑浦路交叉口西北侧）；</w:t>
      </w:r>
    </w:p>
    <w:p>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（二）联系人：信息科/陈文辉；</w:t>
      </w:r>
    </w:p>
    <w:p>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（三）联系电话：0871-68182721。</w:t>
      </w:r>
    </w:p>
    <w:p>
      <w:pPr>
        <w:spacing w:line="560" w:lineRule="exact"/>
        <w:ind w:firstLine="640"/>
        <w:rPr>
          <w:rFonts w:ascii="黑体" w:hAnsi="黑体" w:eastAsia="黑体"/>
          <w:color w:val="000000" w:themeColor="text1"/>
          <w:sz w:val="32"/>
          <w:szCs w:val="32"/>
          <w14:textFill>
            <w14:solidFill>
              <w14:schemeClr w14:val="tx1"/>
            </w14:solidFill>
          </w14:textFill>
        </w:rPr>
      </w:pPr>
      <w:r>
        <w:rPr>
          <w:rFonts w:hint="eastAsia" w:ascii="黑体" w:hAnsi="黑体" w:eastAsia="黑体"/>
          <w:color w:val="000000" w:themeColor="text1"/>
          <w:sz w:val="32"/>
          <w:szCs w:val="32"/>
          <w14:textFill>
            <w14:solidFill>
              <w14:schemeClr w14:val="tx1"/>
            </w14:solidFill>
          </w14:textFill>
        </w:rPr>
        <w:t>十一、公告方式</w:t>
      </w:r>
    </w:p>
    <w:p>
      <w:pPr>
        <w:spacing w:line="560" w:lineRule="exact"/>
        <w:ind w:firstLine="640"/>
        <w:jc w:val="left"/>
        <w:rPr>
          <w:rFonts w:ascii="Times New Roman" w:hAnsi="Times New Roman" w:eastAsia="仿宋_GB2312"/>
          <w:color w:val="000000" w:themeColor="text1"/>
          <w:sz w:val="32"/>
          <w:szCs w:val="32"/>
          <w14:textFill>
            <w14:solidFill>
              <w14:schemeClr w14:val="tx1"/>
            </w14:solidFill>
          </w14:textFill>
        </w:rPr>
      </w:pPr>
      <w:r>
        <w:rPr>
          <w:rFonts w:hint="eastAsia" w:ascii="Times New Roman" w:hAnsi="Times New Roman" w:eastAsia="仿宋_GB2312"/>
          <w:color w:val="000000" w:themeColor="text1"/>
          <w:sz w:val="32"/>
          <w:szCs w:val="32"/>
          <w14:textFill>
            <w14:solidFill>
              <w14:schemeClr w14:val="tx1"/>
            </w14:solidFill>
          </w14:textFill>
        </w:rPr>
        <w:t>昆明市西山区人民医院官网：https://www.xsqrmyy.net/。</w:t>
      </w:r>
    </w:p>
    <w:p>
      <w:pPr>
        <w:spacing w:line="560" w:lineRule="exact"/>
        <w:ind w:firstLine="640"/>
        <w:rPr>
          <w:rFonts w:ascii="黑体" w:hAnsi="黑体" w:eastAsia="黑体" w:cs="黑体"/>
          <w:sz w:val="32"/>
          <w:szCs w:val="32"/>
        </w:rPr>
      </w:pPr>
      <w:r>
        <w:rPr>
          <w:rFonts w:hint="eastAsia" w:ascii="仿宋" w:hAnsi="仿宋" w:eastAsia="仿宋"/>
          <w:color w:val="000000" w:themeColor="text1"/>
          <w:sz w:val="32"/>
          <w:szCs w:val="32"/>
          <w14:textFill>
            <w14:solidFill>
              <w14:schemeClr w14:val="tx1"/>
            </w14:solidFill>
          </w14:textFill>
        </w:rPr>
        <w:t>十二、</w:t>
      </w:r>
      <w:r>
        <w:rPr>
          <w:rFonts w:ascii="黑体" w:hAnsi="黑体" w:eastAsia="黑体" w:cs="黑体"/>
          <w:sz w:val="32"/>
          <w:szCs w:val="32"/>
        </w:rPr>
        <w:t>公示期限</w:t>
      </w:r>
    </w:p>
    <w:p>
      <w:pPr>
        <w:spacing w:line="560" w:lineRule="exact"/>
        <w:ind w:firstLine="640"/>
        <w:rPr>
          <w:rFonts w:ascii="仿宋" w:hAnsi="仿宋" w:eastAsia="仿宋"/>
          <w:color w:val="000000" w:themeColor="text1"/>
          <w:sz w:val="32"/>
          <w:szCs w:val="32"/>
          <w14:textFill>
            <w14:solidFill>
              <w14:schemeClr w14:val="tx1"/>
            </w14:solidFill>
          </w14:textFill>
        </w:rPr>
      </w:pPr>
      <w:r>
        <w:rPr>
          <w:rFonts w:ascii="Times New Roman" w:hAnsi="Times New Roman" w:eastAsia="仿宋_GB2312"/>
          <w:sz w:val="32"/>
          <w:szCs w:val="32"/>
        </w:rPr>
        <w:t>自本公告发布之日起3个工作日</w:t>
      </w:r>
      <w:r>
        <w:rPr>
          <w:rFonts w:hint="eastAsia" w:ascii="Times New Roman" w:hAnsi="Times New Roman" w:eastAsia="仿宋_GB2312"/>
          <w:sz w:val="32"/>
          <w:szCs w:val="32"/>
        </w:rPr>
        <w:t>。</w:t>
      </w:r>
    </w:p>
    <w:p>
      <w:pPr>
        <w:spacing w:line="560" w:lineRule="exact"/>
        <w:ind w:firstLine="640"/>
        <w:rPr>
          <w:rFonts w:ascii="仿宋" w:hAnsi="仿宋" w:eastAsia="仿宋"/>
          <w:color w:val="000000" w:themeColor="text1"/>
          <w:sz w:val="32"/>
          <w:szCs w:val="32"/>
          <w14:textFill>
            <w14:solidFill>
              <w14:schemeClr w14:val="tx1"/>
            </w14:solidFill>
          </w14:textFill>
        </w:rPr>
      </w:pPr>
    </w:p>
    <w:p>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p>
    <w:p>
      <w:pPr>
        <w:spacing w:line="560" w:lineRule="exact"/>
        <w:ind w:firstLine="640"/>
        <w:jc w:val="right"/>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 xml:space="preserve">     昆明市西山区人民医院</w:t>
      </w:r>
    </w:p>
    <w:p>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 xml:space="preserve">                            2023年9月</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25</w:t>
      </w:r>
      <w:r>
        <w:rPr>
          <w:rFonts w:hint="eastAsia" w:ascii="仿宋_GB2312" w:hAnsi="仿宋_GB2312" w:eastAsia="仿宋_GB2312" w:cs="仿宋_GB2312"/>
          <w:color w:val="000000" w:themeColor="text1"/>
          <w:sz w:val="32"/>
          <w:szCs w:val="32"/>
          <w14:textFill>
            <w14:solidFill>
              <w14:schemeClr w14:val="tx1"/>
            </w14:solidFill>
          </w14:textFill>
        </w:rPr>
        <w:t>日</w:t>
      </w:r>
    </w:p>
    <w:p>
      <w:pPr>
        <w:ind w:firstLine="640"/>
        <w:rPr>
          <w:rFonts w:ascii="仿宋_GB2312" w:hAnsi="仿宋_GB2312" w:eastAsia="仿宋_GB2312" w:cs="仿宋_GB2312"/>
          <w:color w:val="000000" w:themeColor="text1"/>
          <w:sz w:val="32"/>
          <w:szCs w:val="32"/>
          <w14:textFill>
            <w14:solidFill>
              <w14:schemeClr w14:val="tx1"/>
            </w14:solidFill>
          </w14:textFill>
        </w:rPr>
      </w:pPr>
    </w:p>
    <w:p>
      <w:pPr>
        <w:ind w:firstLine="640"/>
        <w:rPr>
          <w:rFonts w:ascii="仿宋_GB2312" w:hAnsi="仿宋_GB2312" w:eastAsia="仿宋_GB2312" w:cs="仿宋_GB2312"/>
          <w:color w:val="000000" w:themeColor="text1"/>
          <w:sz w:val="32"/>
          <w:szCs w:val="32"/>
          <w14:textFill>
            <w14:solidFill>
              <w14:schemeClr w14:val="tx1"/>
            </w14:solidFill>
          </w14:textFill>
        </w:rPr>
      </w:pPr>
    </w:p>
    <w:p>
      <w:pPr>
        <w:ind w:firstLine="640"/>
        <w:rPr>
          <w:rFonts w:ascii="仿宋" w:hAnsi="仿宋" w:eastAsia="仿宋" w:cs="Calibri"/>
          <w:color w:val="000000" w:themeColor="text1"/>
          <w:sz w:val="32"/>
          <w:szCs w:val="32"/>
          <w14:textFill>
            <w14:solidFill>
              <w14:schemeClr w14:val="tx1"/>
            </w14:solidFill>
          </w14:textFill>
        </w:rPr>
      </w:pPr>
    </w:p>
    <w:p>
      <w:pPr>
        <w:ind w:firstLine="640"/>
        <w:rPr>
          <w:rFonts w:ascii="仿宋" w:hAnsi="仿宋" w:eastAsia="仿宋" w:cs="Calibri"/>
          <w:color w:val="000000" w:themeColor="text1"/>
          <w:sz w:val="32"/>
          <w:szCs w:val="32"/>
          <w14:textFill>
            <w14:solidFill>
              <w14:schemeClr w14:val="tx1"/>
            </w14:solidFill>
          </w14:textFill>
        </w:rPr>
      </w:pPr>
    </w:p>
    <w:p>
      <w:pPr>
        <w:ind w:firstLine="640"/>
        <w:rPr>
          <w:rFonts w:ascii="仿宋" w:hAnsi="仿宋" w:eastAsia="仿宋" w:cs="Calibri"/>
          <w:color w:val="000000" w:themeColor="text1"/>
          <w:sz w:val="32"/>
          <w:szCs w:val="32"/>
          <w14:textFill>
            <w14:solidFill>
              <w14:schemeClr w14:val="tx1"/>
            </w14:solidFill>
          </w14:textFill>
        </w:rPr>
      </w:pPr>
    </w:p>
    <w:p>
      <w:pPr>
        <w:ind w:firstLine="640"/>
        <w:rPr>
          <w:rFonts w:ascii="仿宋" w:hAnsi="仿宋" w:eastAsia="仿宋" w:cs="Calibri"/>
          <w:color w:val="000000" w:themeColor="text1"/>
          <w:sz w:val="32"/>
          <w:szCs w:val="32"/>
          <w14:textFill>
            <w14:solidFill>
              <w14:schemeClr w14:val="tx1"/>
            </w14:solidFill>
          </w14:textFill>
        </w:rPr>
      </w:pPr>
    </w:p>
    <w:p>
      <w:pPr>
        <w:ind w:firstLine="640"/>
        <w:rPr>
          <w:rFonts w:ascii="仿宋" w:hAnsi="仿宋" w:eastAsia="仿宋" w:cs="Calibri"/>
          <w:color w:val="000000" w:themeColor="text1"/>
          <w:sz w:val="32"/>
          <w:szCs w:val="32"/>
          <w14:textFill>
            <w14:solidFill>
              <w14:schemeClr w14:val="tx1"/>
            </w14:solidFill>
          </w14:textFill>
        </w:rPr>
      </w:pPr>
    </w:p>
    <w:p>
      <w:pPr>
        <w:ind w:firstLine="640"/>
        <w:rPr>
          <w:rFonts w:ascii="仿宋" w:hAnsi="仿宋" w:eastAsia="仿宋" w:cs="Calibri"/>
          <w:color w:val="000000" w:themeColor="text1"/>
          <w:sz w:val="32"/>
          <w:szCs w:val="32"/>
          <w14:textFill>
            <w14:solidFill>
              <w14:schemeClr w14:val="tx1"/>
            </w14:solidFill>
          </w14:textFill>
        </w:rPr>
      </w:pPr>
    </w:p>
    <w:p>
      <w:pPr>
        <w:ind w:firstLine="640"/>
        <w:rPr>
          <w:rFonts w:ascii="仿宋" w:hAnsi="仿宋" w:eastAsia="仿宋" w:cs="Calibri"/>
          <w:color w:val="000000" w:themeColor="text1"/>
          <w:sz w:val="32"/>
          <w:szCs w:val="32"/>
          <w14:textFill>
            <w14:solidFill>
              <w14:schemeClr w14:val="tx1"/>
            </w14:solidFill>
          </w14:textFill>
        </w:rPr>
      </w:pPr>
    </w:p>
    <w:p>
      <w:pPr>
        <w:ind w:firstLine="640"/>
        <w:rPr>
          <w:rFonts w:ascii="仿宋" w:hAnsi="仿宋" w:eastAsia="仿宋" w:cs="Calibri"/>
          <w:color w:val="000000" w:themeColor="text1"/>
          <w:sz w:val="32"/>
          <w:szCs w:val="32"/>
          <w14:textFill>
            <w14:solidFill>
              <w14:schemeClr w14:val="tx1"/>
            </w14:solidFill>
          </w14:textFill>
        </w:rPr>
      </w:pPr>
    </w:p>
    <w:p>
      <w:pPr>
        <w:ind w:firstLine="640"/>
        <w:rPr>
          <w:rFonts w:ascii="仿宋" w:hAnsi="仿宋" w:eastAsia="仿宋" w:cs="Calibri"/>
          <w:color w:val="000000" w:themeColor="text1"/>
          <w:sz w:val="32"/>
          <w:szCs w:val="32"/>
          <w14:textFill>
            <w14:solidFill>
              <w14:schemeClr w14:val="tx1"/>
            </w14:solidFill>
          </w14:textFill>
        </w:rPr>
      </w:pPr>
    </w:p>
    <w:p>
      <w:pPr>
        <w:spacing w:after="100" w:afterAutospacing="1"/>
        <w:ind w:firstLine="0" w:firstLineChars="0"/>
        <w:rPr>
          <w:rFonts w:ascii="黑体" w:hAnsi="黑体" w:eastAsia="黑体"/>
          <w:b/>
          <w:sz w:val="32"/>
          <w:szCs w:val="32"/>
        </w:rPr>
      </w:pPr>
    </w:p>
    <w:p>
      <w:pPr>
        <w:spacing w:after="100" w:afterAutospacing="1"/>
        <w:ind w:firstLine="703"/>
        <w:jc w:val="center"/>
        <w:rPr>
          <w:rFonts w:cs="Calibri" w:asciiTheme="majorEastAsia" w:hAnsiTheme="majorEastAsia" w:eastAsiaTheme="majorEastAsia"/>
          <w:b/>
          <w:color w:val="000000" w:themeColor="text1"/>
          <w:sz w:val="35"/>
          <w:szCs w:val="35"/>
          <w14:textFill>
            <w14:solidFill>
              <w14:schemeClr w14:val="tx1"/>
            </w14:solidFill>
          </w14:textFill>
        </w:rPr>
      </w:pPr>
    </w:p>
    <w:tbl>
      <w:tblPr>
        <w:tblStyle w:val="7"/>
        <w:tblpPr w:leftFromText="180" w:rightFromText="180" w:vertAnchor="text" w:horzAnchor="margin" w:tblpXSpec="center" w:tblpY="-1234"/>
        <w:tblW w:w="11580" w:type="dxa"/>
        <w:tblInd w:w="0" w:type="dxa"/>
        <w:tblLayout w:type="fixed"/>
        <w:tblCellMar>
          <w:top w:w="0" w:type="dxa"/>
          <w:left w:w="108" w:type="dxa"/>
          <w:bottom w:w="0" w:type="dxa"/>
          <w:right w:w="108" w:type="dxa"/>
        </w:tblCellMar>
      </w:tblPr>
      <w:tblGrid>
        <w:gridCol w:w="11580"/>
      </w:tblGrid>
      <w:tr>
        <w:tblPrEx>
          <w:tblLayout w:type="fixed"/>
          <w:tblCellMar>
            <w:top w:w="0" w:type="dxa"/>
            <w:left w:w="108" w:type="dxa"/>
            <w:bottom w:w="0" w:type="dxa"/>
            <w:right w:w="108" w:type="dxa"/>
          </w:tblCellMar>
        </w:tblPrEx>
        <w:trPr>
          <w:trHeight w:val="510" w:hRule="atLeast"/>
        </w:trPr>
        <w:tc>
          <w:tcPr>
            <w:tcW w:w="11580" w:type="dxa"/>
            <w:tcBorders>
              <w:top w:val="nil"/>
              <w:left w:val="nil"/>
              <w:bottom w:val="single" w:color="auto" w:sz="4" w:space="0"/>
              <w:right w:val="nil"/>
            </w:tcBorders>
            <w:shd w:val="clear" w:color="auto" w:fill="auto"/>
            <w:vAlign w:val="center"/>
          </w:tcPr>
          <w:p>
            <w:pPr>
              <w:spacing w:after="100" w:afterAutospacing="1"/>
              <w:ind w:firstLine="643"/>
              <w:jc w:val="left"/>
              <w:rPr>
                <w:rFonts w:ascii="仿宋_GB2312" w:hAnsi="仿宋_GB2312" w:eastAsia="仿宋_GB2312" w:cs="仿宋_GB2312"/>
                <w:b/>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14:textFill>
                  <w14:solidFill>
                    <w14:schemeClr w14:val="tx1"/>
                  </w14:solidFill>
                </w14:textFill>
              </w:rPr>
              <w:t xml:space="preserve"> </w:t>
            </w:r>
          </w:p>
          <w:p>
            <w:pPr>
              <w:spacing w:after="100" w:afterAutospacing="1"/>
              <w:ind w:firstLine="640"/>
              <w:jc w:val="left"/>
              <w:rPr>
                <w:rFonts w:ascii="仿宋_GB2312" w:hAnsi="仿宋_GB2312" w:eastAsia="仿宋_GB2312" w:cs="仿宋_GB2312"/>
                <w:bCs/>
                <w:color w:val="000000" w:themeColor="text1"/>
                <w:sz w:val="32"/>
                <w:szCs w:val="32"/>
                <w14:textFill>
                  <w14:solidFill>
                    <w14:schemeClr w14:val="tx1"/>
                  </w14:solidFill>
                </w14:textFill>
              </w:rPr>
            </w:pPr>
            <w:r>
              <w:rPr>
                <w:rFonts w:hint="eastAsia" w:ascii="仿宋_GB2312" w:hAnsi="仿宋_GB2312" w:eastAsia="仿宋_GB2312" w:cs="仿宋_GB2312"/>
                <w:bCs/>
                <w:color w:val="000000" w:themeColor="text1"/>
                <w:sz w:val="32"/>
                <w:szCs w:val="32"/>
                <w14:textFill>
                  <w14:solidFill>
                    <w14:schemeClr w14:val="tx1"/>
                  </w14:solidFill>
                </w14:textFill>
              </w:rPr>
              <w:t>附件1</w:t>
            </w:r>
            <w:bookmarkStart w:id="0" w:name="_Toc431290536"/>
          </w:p>
          <w:p>
            <w:pPr>
              <w:spacing w:after="100" w:afterAutospacing="1"/>
              <w:ind w:firstLine="880"/>
              <w:jc w:val="center"/>
              <w:rPr>
                <w:rFonts w:ascii="方正小标宋简体" w:hAnsi="方正小标宋简体" w:eastAsia="方正小标宋简体" w:cs="方正小标宋简体"/>
                <w:b/>
                <w:sz w:val="44"/>
                <w:szCs w:val="44"/>
              </w:rPr>
            </w:pPr>
            <w:r>
              <w:rPr>
                <w:rFonts w:hint="eastAsia" w:ascii="方正小标宋简体" w:hAnsi="方正小标宋简体" w:eastAsia="方正小标宋简体" w:cs="方正小标宋简体"/>
                <w:b/>
                <w:sz w:val="44"/>
                <w:szCs w:val="44"/>
              </w:rPr>
              <w:t>昆明市西山区人民医院</w:t>
            </w:r>
          </w:p>
          <w:p>
            <w:pPr>
              <w:spacing w:after="100" w:afterAutospacing="1"/>
              <w:ind w:firstLine="880"/>
              <w:jc w:val="center"/>
              <w:rPr>
                <w:rFonts w:ascii="方正小标宋简体" w:hAnsi="方正小标宋简体" w:eastAsia="方正小标宋简体" w:cs="方正小标宋简体"/>
                <w:b/>
                <w:sz w:val="44"/>
                <w:szCs w:val="44"/>
              </w:rPr>
            </w:pPr>
            <w:r>
              <w:rPr>
                <w:rFonts w:hint="eastAsia" w:ascii="方正小标宋简体" w:hAnsi="方正小标宋简体" w:eastAsia="方正小标宋简体" w:cs="方正小标宋简体"/>
                <w:b/>
                <w:sz w:val="44"/>
                <w:szCs w:val="44"/>
                <w:lang w:val="en-US" w:eastAsia="zh-CN"/>
              </w:rPr>
              <w:t>心理测评系统</w:t>
            </w:r>
            <w:r>
              <w:rPr>
                <w:rFonts w:hint="eastAsia" w:ascii="方正小标宋简体" w:hAnsi="方正小标宋简体" w:eastAsia="方正小标宋简体" w:cs="方正小标宋简体"/>
                <w:b/>
                <w:sz w:val="44"/>
                <w:szCs w:val="44"/>
              </w:rPr>
              <w:t>等项目招标参数</w:t>
            </w:r>
          </w:p>
          <w:bookmarkEnd w:id="0"/>
          <w:p>
            <w:pPr>
              <w:widowControl/>
              <w:spacing w:line="240" w:lineRule="auto"/>
              <w:ind w:firstLine="803" w:firstLineChars="0"/>
              <w:jc w:val="center"/>
              <w:rPr>
                <w:rFonts w:ascii="宋体" w:hAnsi="宋体" w:cs="宋体"/>
                <w:b/>
                <w:bCs/>
                <w:kern w:val="0"/>
                <w:sz w:val="40"/>
                <w:szCs w:val="40"/>
              </w:rPr>
            </w:pPr>
          </w:p>
        </w:tc>
      </w:tr>
      <w:tr>
        <w:tblPrEx>
          <w:tblLayout w:type="fixed"/>
          <w:tblCellMar>
            <w:top w:w="0" w:type="dxa"/>
            <w:left w:w="108" w:type="dxa"/>
            <w:bottom w:w="0" w:type="dxa"/>
            <w:right w:w="108" w:type="dxa"/>
          </w:tblCellMar>
        </w:tblPrEx>
        <w:trPr>
          <w:trHeight w:val="312" w:hRule="atLeast"/>
        </w:trPr>
        <w:tc>
          <w:tcPr>
            <w:tcW w:w="11580" w:type="dxa"/>
            <w:tcBorders>
              <w:top w:val="single" w:color="auto" w:sz="4" w:space="0"/>
              <w:left w:val="nil"/>
              <w:bottom w:val="nil"/>
              <w:right w:val="nil"/>
            </w:tcBorders>
            <w:vAlign w:val="center"/>
          </w:tcPr>
          <w:p>
            <w:pPr>
              <w:jc w:val="center"/>
              <w:rPr>
                <w:rFonts w:ascii="Times New Roman" w:hAnsi="Times New Roman" w:eastAsia="黑体"/>
                <w:b/>
                <w:color w:val="FFFFFF" w:themeColor="background1"/>
                <w:sz w:val="36"/>
                <w:szCs w:val="36"/>
                <w:highlight w:val="red"/>
                <w14:textFill>
                  <w14:solidFill>
                    <w14:schemeClr w14:val="bg1"/>
                  </w14:solidFill>
                </w14:textFill>
              </w:rPr>
            </w:pPr>
            <w:r>
              <w:rPr>
                <w:rFonts w:hint="eastAsia" w:ascii="Times New Roman" w:hAnsi="Times New Roman" w:eastAsia="黑体"/>
                <w:b/>
                <w:color w:val="FFFFFF" w:themeColor="background1"/>
                <w:sz w:val="36"/>
                <w:szCs w:val="36"/>
                <w:highlight w:val="red"/>
                <w14:textFill>
                  <w14:solidFill>
                    <w14:schemeClr w14:val="bg1"/>
                  </w14:solidFill>
                </w14:textFill>
              </w:rPr>
              <w:t>心理测评系统单机版参数</w:t>
            </w:r>
          </w:p>
          <w:tbl>
            <w:tblPr>
              <w:tblStyle w:val="7"/>
              <w:tblW w:w="10155" w:type="dxa"/>
              <w:tblInd w:w="-53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91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155" w:type="dxa"/>
                  <w:gridSpan w:val="2"/>
                  <w:vAlign w:val="center"/>
                </w:tcPr>
                <w:p>
                  <w:pPr>
                    <w:spacing w:beforeLines="50" w:afterLines="50" w:line="0" w:lineRule="atLeast"/>
                    <w:jc w:val="center"/>
                    <w:rPr>
                      <w:rFonts w:ascii="宋体" w:hAnsi="宋体" w:cs="宋体"/>
                      <w:color w:val="000000" w:themeColor="text1"/>
                      <w14:textFill>
                        <w14:solidFill>
                          <w14:schemeClr w14:val="tx1"/>
                        </w14:solidFill>
                      </w14:textFill>
                    </w:rPr>
                  </w:pPr>
                  <w:r>
                    <w:rPr>
                      <w:rFonts w:hint="eastAsia" w:ascii="黑体" w:hAnsi="黑体" w:eastAsia="黑体" w:cs="黑体"/>
                      <w:b/>
                      <w:bCs/>
                      <w:color w:val="1D41D5"/>
                      <w:sz w:val="36"/>
                      <w:szCs w:val="36"/>
                    </w:rPr>
                    <w:t>技术要求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010" w:type="dxa"/>
                  <w:vAlign w:val="center"/>
                </w:tcPr>
                <w:p>
                  <w:pPr>
                    <w:pStyle w:val="4"/>
                    <w:spacing w:line="0" w:lineRule="atLeast"/>
                    <w:jc w:val="center"/>
                    <w:rPr>
                      <w:rFonts w:hAnsi="宋体" w:cs="宋体"/>
                      <w:color w:val="000000" w:themeColor="text1"/>
                      <w14:textFill>
                        <w14:solidFill>
                          <w14:schemeClr w14:val="tx1"/>
                        </w14:solidFill>
                      </w14:textFill>
                    </w:rPr>
                  </w:pPr>
                  <w:r>
                    <w:rPr>
                      <w:rFonts w:hint="eastAsia" w:hAnsi="宋体" w:cs="宋体"/>
                      <w:color w:val="000000" w:themeColor="text1"/>
                      <w14:textFill>
                        <w14:solidFill>
                          <w14:schemeClr w14:val="tx1"/>
                        </w14:solidFill>
                      </w14:textFill>
                    </w:rPr>
                    <w:t>技术参数及技术指标要求</w:t>
                  </w:r>
                </w:p>
              </w:tc>
              <w:tc>
                <w:tcPr>
                  <w:tcW w:w="9145" w:type="dxa"/>
                  <w:vAlign w:val="center"/>
                </w:tcPr>
                <w:p>
                  <w:pPr>
                    <w:spacing w:beforeLines="50" w:afterLines="50" w:line="0" w:lineRule="atLeast"/>
                    <w:rPr>
                      <w:rFonts w:ascii="黑体" w:hAnsi="黑体" w:eastAsia="黑体" w:cs="黑体"/>
                      <w:b/>
                      <w:bCs/>
                      <w:color w:val="000000" w:themeColor="text1"/>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▲系统量表组成要求</w:t>
                  </w:r>
                  <w:r>
                    <w:rPr>
                      <w:rFonts w:hint="eastAsia" w:ascii="黑体" w:hAnsi="黑体" w:eastAsia="黑体" w:cs="黑体"/>
                      <w:b/>
                      <w:bCs/>
                      <w:color w:val="000000" w:themeColor="text1"/>
                      <w14:textFill>
                        <w14:solidFill>
                          <w14:schemeClr w14:val="tx1"/>
                        </w14:solidFill>
                      </w14:textFill>
                    </w:rPr>
                    <w:br w:type="textWrapping"/>
                  </w:r>
                  <w:r>
                    <w:rPr>
                      <w:rFonts w:hint="eastAsia" w:ascii="黑体" w:hAnsi="黑体" w:eastAsia="黑体" w:cs="黑体"/>
                      <w:b/>
                      <w:bCs/>
                      <w:color w:val="000000" w:themeColor="text1"/>
                      <w14:textFill>
                        <w14:solidFill>
                          <w14:schemeClr w14:val="tx1"/>
                        </w14:solidFill>
                      </w14:textFill>
                    </w:rPr>
                    <w:t>成人测查部分</w:t>
                  </w:r>
                  <w:r>
                    <w:rPr>
                      <w:rFonts w:hint="eastAsia" w:ascii="黑体" w:hAnsi="黑体" w:eastAsia="黑体" w:cs="黑体"/>
                      <w:b/>
                      <w:bCs/>
                      <w:szCs w:val="21"/>
                    </w:rPr>
                    <w:t>量表组成要求</w:t>
                  </w:r>
                  <w:r>
                    <w:rPr>
                      <w:rFonts w:hint="eastAsia" w:ascii="黑体" w:hAnsi="黑体" w:eastAsia="黑体" w:cs="黑体"/>
                      <w:b/>
                      <w:bCs/>
                      <w:color w:val="000000" w:themeColor="text1"/>
                      <w14:textFill>
                        <w14:solidFill>
                          <w14:schemeClr w14:val="tx1"/>
                        </w14:solidFill>
                      </w14:textFill>
                    </w:rPr>
                    <w:t>：必须包含但不限于以下≥9大类76个18岁-老年年龄段专业权威量表（须提供系统界面截图佐证，不提供或提供截图不合格者扣3分）：</w:t>
                  </w:r>
                </w:p>
                <w:p>
                  <w:pPr>
                    <w:numPr>
                      <w:ilvl w:val="0"/>
                      <w:numId w:val="1"/>
                    </w:numPr>
                    <w:spacing w:beforeLines="50" w:afterLines="50" w:line="0" w:lineRule="atLeas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智力测验类：瑞文标准推理测验，瑞文高级推理测验，团体智力测验；2、个性人格测验类：卡特尔16种人格测验（16PF），明尼苏达多相人格调查表(566/399/简版167)（MMPI），艾森克个性测验（儿童/成人）（EPQ），气质问卷，爱德华个性偏好测验（EPPS）；3、心理健康综合筛查类：90项症状清单（SCL-90），大学生心理健康调查表，康奈尔医学指数量表（CMI）；4、情绪测验类：抑郁自评量表（SDS），汉密顿抑郁量表（HAMD），贝克抑郁自评问卷（BDI），流调用抑郁自评量表（CES），纽卡斯尔抑郁诊断量表（NDI），综合性医院焦虑抑郁量表，焦虑自评量表（SAS），状态-特质焦虑问卷（STAI），汉密顿焦虑量表（HAMA），贝克焦虑量表（BAI），社交焦虑量表（LSAS），惧怕否定评价量表（FNE），艾森克情绪稳定性测验，社交回避及苦恼量表（SAD），情绪—社交孤独问卷（ESLI）；5、应激及相关测验类：防御方式问卷（DSQ），应付方式问卷，简易应对方式量表，生活事件量表（LES），社会支持评定量表；6、亚健康状况测验类：A型行为测验，疲劳量表，匹茨堡睡眠质量指数量表，阿森斯失眠量表，UCLA孤独量表；7、婚姻家庭及生活满意度测验类：家庭环境量表（FES），OLSON婚姻质量问卷，ED指数，性满意度量表；生活满意度评定量表（LSR），生活满意度指数A量表（LSIA），生活满意度指数B量表（LSIB），情感量表，纽芬兰幸福度量表，总体幸福感量表（GWB），健康状况问卷（SF36），生存质量测定量表（WHOQOL）；8、老年及其他评定量表类：老年临床评定量表（SCAG），老年抑郁量表，痴呆简易筛查量表（BSSD），缺血指数量表（HIS），长谷川痴呆评定量表（HDS），简易智力状态检查量表（MMSE），儿童行为量表（CBCL），Conners父母症状问卷（PSQ），个人评价问卷（PEI）；9、精神科常用量表类：精神症状全面量表（CPRS），简明精神病量表（BPRS），躁狂量表（BRMS），阴性症状量表（SANS），阳性症状量表（SAPS），护士用住院病人观察量表，副反应量表（TESS），抗抑郁药副反应量表（SERS），锥体外系副反应量表（RESES），日常生活能力量表（ADL），社会功能缺陷量表（SDSS），YALE—BROWN强迫量表，密西根酒精调查表（MAST）。</w:t>
                  </w:r>
                </w:p>
                <w:p>
                  <w:pPr>
                    <w:pStyle w:val="4"/>
                    <w:spacing w:line="0" w:lineRule="atLeast"/>
                    <w:jc w:val="left"/>
                    <w:rPr>
                      <w:rFonts w:hAnsi="宋体" w:cs="宋体"/>
                    </w:rPr>
                  </w:pPr>
                  <w:r>
                    <w:rPr>
                      <w:rFonts w:hint="eastAsia" w:ascii="黑体" w:hAnsi="黑体" w:eastAsia="黑体" w:cs="黑体"/>
                      <w:b/>
                      <w:bCs/>
                      <w:color w:val="000000" w:themeColor="text1"/>
                      <w14:textFill>
                        <w14:solidFill>
                          <w14:schemeClr w14:val="tx1"/>
                        </w14:solidFill>
                      </w14:textFill>
                    </w:rPr>
                    <w:t>儿童青少年测查部分</w:t>
                  </w:r>
                  <w:r>
                    <w:rPr>
                      <w:rFonts w:hint="eastAsia" w:ascii="黑体" w:hAnsi="黑体" w:eastAsia="黑体" w:cs="黑体"/>
                      <w:b/>
                      <w:bCs/>
                    </w:rPr>
                    <w:t>量表组成要求：</w:t>
                  </w:r>
                  <w:r>
                    <w:rPr>
                      <w:rFonts w:hint="eastAsia" w:hAnsi="宋体" w:cs="宋体"/>
                    </w:rPr>
                    <w:t>适用0-18岁年龄段，必须包含以下≥11类≥46个专业权威量表</w:t>
                  </w:r>
                  <w:r>
                    <w:rPr>
                      <w:rFonts w:hint="eastAsia" w:ascii="黑体" w:hAnsi="黑体" w:eastAsia="黑体" w:cs="黑体"/>
                      <w:b/>
                      <w:bCs/>
                      <w:color w:val="000000" w:themeColor="text1"/>
                      <w14:textFill>
                        <w14:solidFill>
                          <w14:schemeClr w14:val="tx1"/>
                        </w14:solidFill>
                      </w14:textFill>
                    </w:rPr>
                    <w:t>（须提供系统界面截图佐证，不提供或提供截图不合格者扣3分）</w:t>
                  </w:r>
                  <w:r>
                    <w:rPr>
                      <w:rFonts w:hint="eastAsia" w:hAnsi="宋体" w:cs="宋体"/>
                    </w:rPr>
                    <w:t>：</w:t>
                  </w:r>
                </w:p>
                <w:p>
                  <w:pPr>
                    <w:pStyle w:val="4"/>
                    <w:spacing w:line="0" w:lineRule="atLeast"/>
                    <w:jc w:val="left"/>
                    <w:rPr>
                      <w:rFonts w:hAnsi="宋体" w:cs="宋体"/>
                    </w:rPr>
                  </w:pPr>
                  <w:r>
                    <w:rPr>
                      <w:rFonts w:hint="eastAsia" w:hAnsi="宋体" w:cs="宋体"/>
                    </w:rPr>
                    <w:t>1、智力测验类：瑞文标准推理测验，瑞文高级推理测验，团体智力测验；</w:t>
                  </w:r>
                </w:p>
                <w:p>
                  <w:pPr>
                    <w:pStyle w:val="4"/>
                    <w:spacing w:line="0" w:lineRule="atLeast"/>
                    <w:jc w:val="left"/>
                    <w:rPr>
                      <w:rFonts w:hAnsi="宋体" w:cs="宋体"/>
                    </w:rPr>
                  </w:pPr>
                  <w:r>
                    <w:rPr>
                      <w:rFonts w:hint="eastAsia" w:hAnsi="宋体" w:cs="宋体"/>
                    </w:rPr>
                    <w:t>2、气质测验类：儿童气质问卷（4个月-1岁；1-3岁；3-7岁）；</w:t>
                  </w:r>
                </w:p>
                <w:p>
                  <w:pPr>
                    <w:pStyle w:val="4"/>
                    <w:spacing w:line="0" w:lineRule="atLeast"/>
                    <w:jc w:val="left"/>
                    <w:rPr>
                      <w:rFonts w:hAnsi="宋体" w:cs="宋体"/>
                    </w:rPr>
                  </w:pPr>
                  <w:r>
                    <w:rPr>
                      <w:rFonts w:hint="eastAsia" w:hAnsi="宋体" w:cs="宋体"/>
                    </w:rPr>
                    <w:t>3、人格测验类：艾森克个性测验(7-15岁)(EPQ)，艾森克个性测验(16-18岁)，卡特尔16pf人格测验（16-18岁）；</w:t>
                  </w:r>
                </w:p>
                <w:p>
                  <w:pPr>
                    <w:pStyle w:val="4"/>
                    <w:spacing w:line="0" w:lineRule="atLeast"/>
                    <w:jc w:val="left"/>
                    <w:rPr>
                      <w:rFonts w:hAnsi="宋体" w:cs="宋体"/>
                    </w:rPr>
                  </w:pPr>
                  <w:r>
                    <w:rPr>
                      <w:rFonts w:hint="eastAsia" w:hAnsi="宋体" w:cs="宋体"/>
                    </w:rPr>
                    <w:t>4、情绪测验类：抑郁自评量表(SDS)，焦虑自评量表(SAS)，抑郁状态问卷(DSI)，流调用抑郁自评量表(CES)，Sarason考试焦虑量表，儿童社交焦虑量表(SASC)，汉密顿焦虑量表(HAMA)，汉密顿抑郁量表(HAMD)；</w:t>
                  </w:r>
                </w:p>
                <w:p>
                  <w:pPr>
                    <w:pStyle w:val="4"/>
                    <w:spacing w:line="0" w:lineRule="atLeast"/>
                    <w:jc w:val="left"/>
                    <w:rPr>
                      <w:rFonts w:hAnsi="宋体" w:cs="宋体"/>
                    </w:rPr>
                  </w:pPr>
                  <w:r>
                    <w:rPr>
                      <w:rFonts w:hint="eastAsia" w:hAnsi="宋体" w:cs="宋体"/>
                    </w:rPr>
                    <w:t>5、行为测验类：儿童行为量表(CBCL 4-16岁)， CBCL2～3岁，Rutter儿童行为父母问卷，Rutter儿童行为教师问卷，Conners父母用问卷(PSQ)，Conners教师用问卷(TRS)，Conners简明行为量表(ASQ)，多动症诊断标准，YALE-BROWN强迫量表，新生儿20项行为神经评定；</w:t>
                  </w:r>
                </w:p>
                <w:p>
                  <w:pPr>
                    <w:pStyle w:val="4"/>
                    <w:spacing w:line="0" w:lineRule="atLeast"/>
                    <w:jc w:val="left"/>
                    <w:rPr>
                      <w:rFonts w:hAnsi="宋体" w:cs="宋体"/>
                    </w:rPr>
                  </w:pPr>
                  <w:r>
                    <w:rPr>
                      <w:rFonts w:hint="eastAsia" w:hAnsi="宋体" w:cs="宋体"/>
                    </w:rPr>
                    <w:t>6、学习及能力测验类：威廉斯创造能力测验，超常行为检查表，学习障碍儿童筛查量表，儿童感觉统合能力发展评定量表，婴儿－初中学生社会生活能力量表，注意力测验（划消测验）；</w:t>
                  </w:r>
                </w:p>
                <w:p>
                  <w:pPr>
                    <w:pStyle w:val="4"/>
                    <w:spacing w:line="0" w:lineRule="atLeast"/>
                    <w:jc w:val="left"/>
                    <w:rPr>
                      <w:rFonts w:hAnsi="宋体" w:cs="宋体"/>
                    </w:rPr>
                  </w:pPr>
                  <w:r>
                    <w:rPr>
                      <w:rFonts w:hint="eastAsia" w:hAnsi="宋体" w:cs="宋体"/>
                    </w:rPr>
                    <w:t>7、一般健康测查类：90项症状清单(SCL90)，中学生心理健康检测，自杀态度问卷(QSA)，青少年生活事件量表(ASLEC)；</w:t>
                  </w:r>
                </w:p>
                <w:p>
                  <w:pPr>
                    <w:pStyle w:val="4"/>
                    <w:spacing w:line="0" w:lineRule="atLeast"/>
                    <w:jc w:val="left"/>
                    <w:rPr>
                      <w:rFonts w:hAnsi="宋体" w:cs="宋体"/>
                    </w:rPr>
                  </w:pPr>
                  <w:r>
                    <w:rPr>
                      <w:rFonts w:hint="eastAsia" w:hAnsi="宋体" w:cs="宋体"/>
                    </w:rPr>
                    <w:t>8、孤独症评定量表类：儿童孤独症家长评定量表(ABC)，儿童孤独症评定量表(CARS)；</w:t>
                  </w:r>
                </w:p>
                <w:p>
                  <w:pPr>
                    <w:pStyle w:val="4"/>
                    <w:spacing w:line="0" w:lineRule="atLeast"/>
                    <w:jc w:val="left"/>
                    <w:rPr>
                      <w:rFonts w:hAnsi="宋体" w:cs="宋体"/>
                    </w:rPr>
                  </w:pPr>
                  <w:r>
                    <w:rPr>
                      <w:rFonts w:hint="eastAsia" w:hAnsi="宋体" w:cs="宋体"/>
                    </w:rPr>
                    <w:t>9、自我意识类：Piers—Harris儿童自我意识量表，儿童社会期望量表(CSD)；</w:t>
                  </w:r>
                </w:p>
                <w:p>
                  <w:pPr>
                    <w:pStyle w:val="4"/>
                    <w:spacing w:line="0" w:lineRule="atLeast"/>
                    <w:jc w:val="left"/>
                    <w:rPr>
                      <w:rFonts w:hAnsi="宋体" w:cs="宋体"/>
                    </w:rPr>
                  </w:pPr>
                  <w:r>
                    <w:rPr>
                      <w:rFonts w:hint="eastAsia" w:hAnsi="宋体" w:cs="宋体"/>
                    </w:rPr>
                    <w:t>10、家庭教育环境类：父母养育方式评价量表(EMBU)，家庭环境量表(FES)，学龄前儿童活动调查表(PSAI)；</w:t>
                  </w:r>
                </w:p>
                <w:p>
                  <w:pPr>
                    <w:pStyle w:val="4"/>
                    <w:spacing w:line="0" w:lineRule="atLeast"/>
                    <w:jc w:val="left"/>
                  </w:pPr>
                  <w:r>
                    <w:rPr>
                      <w:rFonts w:hint="eastAsia" w:hAnsi="宋体" w:cs="宋体"/>
                    </w:rPr>
                    <w:t>11、职业倾向类：职业兴趣调查问卷，霍兰德职业倾向问卷；</w:t>
                  </w:r>
                </w:p>
                <w:p>
                  <w:pPr>
                    <w:spacing w:beforeLines="50" w:afterLines="50" w:line="0" w:lineRule="atLeast"/>
                    <w:rPr>
                      <w:rFonts w:ascii="黑体" w:hAnsi="黑体" w:eastAsia="黑体" w:cs="黑体"/>
                      <w:b/>
                      <w:bCs/>
                      <w:color w:val="000000" w:themeColor="text1"/>
                      <w14:textFill>
                        <w14:solidFill>
                          <w14:schemeClr w14:val="tx1"/>
                        </w14:solidFill>
                      </w14:textFill>
                    </w:rPr>
                  </w:pPr>
                  <w:r>
                    <w:rPr>
                      <w:rFonts w:hint="eastAsia" w:ascii="黑体" w:hAnsi="黑体" w:eastAsia="黑体" w:cs="黑体"/>
                      <w:b/>
                      <w:bCs/>
                      <w:color w:val="000000" w:themeColor="text1"/>
                      <w14:textFill>
                        <w14:solidFill>
                          <w14:schemeClr w14:val="tx1"/>
                        </w14:solidFill>
                      </w14:textFill>
                    </w:rPr>
                    <w:t>系统主要功能性能指标要求</w:t>
                  </w:r>
                </w:p>
                <w:p>
                  <w:pPr>
                    <w:spacing w:beforeLines="50" w:afterLines="50" w:line="0" w:lineRule="atLeas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1、常模适用范围广泛</w:t>
                  </w:r>
                </w:p>
                <w:p>
                  <w:pPr>
                    <w:spacing w:beforeLines="50" w:afterLines="50" w:line="0" w:lineRule="atLeas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所有的量表均采用全国常模或标准的临床心理测量评分方法，对精神卫生、临床心理、成人儿童等均适用。</w:t>
                  </w:r>
                </w:p>
                <w:p>
                  <w:pPr>
                    <w:spacing w:beforeLines="50" w:afterLines="50" w:line="0" w:lineRule="atLeas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2、操作方式人性化</w:t>
                  </w:r>
                </w:p>
                <w:p>
                  <w:pPr>
                    <w:spacing w:beforeLines="50" w:afterLines="50" w:line="0" w:lineRule="atLeas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人机对话，弹出式键盘、鼠标双向可变性操作，简单便捷，不会跳题。</w:t>
                  </w:r>
                </w:p>
                <w:p>
                  <w:pPr>
                    <w:spacing w:beforeLines="50" w:afterLines="50" w:line="0" w:lineRule="atLeas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3、报告输出多样化（须提供系统界面截图佐证，不提供或提供截图不合格者扣3分）：生成的自动报告和剖面图，以WORD文本样式显示，可直接进行文字输入、编辑修改和重新排版等，同时，为用户提供文本、带剖面图及彩色等多种打印选择，并且可以采用批量处理的方式，避免逐条逐步处理报告的繁锁。</w:t>
                  </w:r>
                </w:p>
                <w:p>
                  <w:pPr>
                    <w:spacing w:beforeLines="50" w:afterLines="50" w:line="0" w:lineRule="atLeas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4、数据管理功能（须提供系统界面截图佐证，不提供或提供截图不合格者扣3分）：系统真实记录受测者测评的所有数据原始记录。除对测验数据进行查询、打印等基本操作外，管理者还可通过系统专门设计的数据统计和统计报表功能，根据不同的性别、年龄、文化程度等因素对数据进行分类检索、整体状况查询及部分统计计算，并生成相应的T/Z检验结果和报表统计。测试数据还可以导入到SPSS等专业统计软件或以Excel格式导出，进行更深入的统计分析。</w:t>
                  </w:r>
                </w:p>
                <w:p>
                  <w:pPr>
                    <w:spacing w:beforeLines="50" w:afterLines="50" w:line="0" w:lineRule="atLeas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5、诊断功能及诊断内容修改功能（须提供系统界面截图佐证，不提供或提供截图不合格者扣3分）：系统自动对测验数据进行分析判断，生成相对应的参考诊断报告，大大提高医生的诊断速度。医生可以结合自己的工作经验，对受测者的报告或系统的自动报告模式进行修改。</w:t>
                  </w:r>
                </w:p>
                <w:p>
                  <w:pPr>
                    <w:spacing w:beforeLines="50" w:afterLines="50" w:line="0" w:lineRule="atLeas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6、历次测查趋势图功能（须提供系统界面截图佐证，不提供或提供截图不合格者扣3分）：部分量表带有管理者详细报告，能自动提示受测者的极端选项。同时系统还根据临床需求设计有部分量表的历次测查趋势图，方便管理者追踪受测者的心理问题变化情况，并做前后多次治疗效果分析比较。</w:t>
                  </w:r>
                </w:p>
                <w:p>
                  <w:pPr>
                    <w:spacing w:beforeLines="50" w:afterLines="50" w:line="0" w:lineRule="atLeas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7、统计报表灵活方便（须提供系统界面截图佐证，不提供或提供截图不合格者扣3分）:经过一段时间测评数据的累积，医院科研人员可病患群体具有共性心理问题和倾向进行分析。通过设定不同报表条件，生成相应总报表与人员报表，以百分比例、详细数字的形式对人员情况进行分析。</w:t>
                  </w:r>
                </w:p>
                <w:p>
                  <w:pPr>
                    <w:spacing w:beforeLines="50" w:afterLines="50" w:line="0" w:lineRule="atLeas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8、测评数据导出功能（须提供系统界面截图佐证，不提供或提供截图不合格者扣3分）:根据量表名称，编号，测验日期作为查询条件，导出各量表的测评数据为EXCEL格式，数据内容包括测平者姓名、年龄、性别、因子分、每个答案选项等。</w:t>
                  </w:r>
                </w:p>
                <w:p>
                  <w:pPr>
                    <w:spacing w:beforeLines="50" w:afterLines="50" w:line="0" w:lineRule="atLeas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▲9、自定义信息扩展功能（须提供系统界面截图佐证，不提供或提供截图不合格者扣3分）:可设置除已有病患基本信息外的6个附加自定义项目，做为医院辅助调查病患的信息内容，且所有项目可以导出EXCEL表中。</w:t>
                  </w:r>
                </w:p>
                <w:p>
                  <w:pPr>
                    <w:spacing w:beforeLines="50" w:afterLines="50" w:line="0" w:lineRule="atLeas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10、数据库备份/还原功能（须提供系统界面截图佐证，不提供或提供截图不合格者扣3分）：系统设置数据备份/还原服务，用户可自由设定每周、每日定期对系统测试数据进行备份保存，以避免服务器、网络故障导致数据丢失。</w:t>
                  </w:r>
                </w:p>
                <w:p>
                  <w:pPr>
                    <w:spacing w:beforeLines="50" w:afterLines="50" w:line="0" w:lineRule="atLeas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11、数字加密技术安全有保障（须提供系统界面截图佐证，不提供或提供截图不合格者扣3分）：由于病患心理测评结果属个人隐私，为保证数据及测评结果的安全性，系统采用与银行级别相同的数字加密系统，每位管理员均有专属的加密KEY，在没有加密KEY的情况下，是无法登录和查询系统中任何数据的。</w:t>
                  </w:r>
                </w:p>
                <w:p>
                  <w:pPr>
                    <w:spacing w:beforeLines="50" w:afterLines="50" w:line="0" w:lineRule="atLeas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12.键盘操作答题模式（须提供系统界面截图佐证，不提供或提供截图不合格者扣3分）：很多精神疾病患者、老年患者、学历低患者、儿童患者、肢体残障患者不能自由使用鼠标答题，键盘操作答题模式，极大地方便医护人员和心理求助者，大大提高心理测评的效率和质量。</w:t>
                  </w:r>
                </w:p>
                <w:p>
                  <w:pPr>
                    <w:spacing w:beforeLines="50" w:afterLines="50" w:line="0" w:lineRule="atLeas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▲13.操作方式智能化：人机对话，弹出式键盘、鼠标双向可变性操作，简单便捷，测试时避免跳题、漏题。测试题目文字清晰、加大，尤其对于年龄较长、视力较差的病患测试时能清楚答阅、做题。</w:t>
                  </w:r>
                </w:p>
                <w:p>
                  <w:pPr>
                    <w:spacing w:beforeLines="50" w:afterLines="50" w:line="0" w:lineRule="atLeas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14、管理者可针对不同情况，对编号序列、界面、受测者基本信息等进行自定义调整，满足个性化需要。</w:t>
                  </w:r>
                </w:p>
                <w:p>
                  <w:pPr>
                    <w:spacing w:beforeLines="50" w:afterLines="50" w:line="0" w:lineRule="atLeas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▲15、明尼苏达常模选择功能（须提供系统界面截图佐证，不提供或提供截图不合格者扣2分）：可提供性别常模、性别和年龄组常模、性别和中学组常模、性别和大学组常模等多种常模计算方法选择。</w:t>
                  </w:r>
                </w:p>
                <w:p>
                  <w:pPr>
                    <w:spacing w:beforeLines="50" w:afterLines="50" w:line="0" w:lineRule="atLeas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▲16、明尼苏达直接计算功能（须提供系统界面截图佐证，不提供或提供截图不合格者扣2分）：系统须具备明尼苏达直接输入原始分值自动智能计算并出具报告功能。</w:t>
                  </w:r>
                </w:p>
                <w:p>
                  <w:pPr>
                    <w:spacing w:beforeLines="50" w:afterLines="50" w:line="0" w:lineRule="atLeas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▲17、明尼苏达续做功能（须提供系统界面截图佐证，不提供或提供截图不合格者扣5分）：针对明尼苏达个性测验题目多、测试时间长等特点，系统须具备明尼苏达续做功能，允许受测者分多次来完成答题。</w:t>
                  </w:r>
                </w:p>
                <w:p>
                  <w:pPr>
                    <w:spacing w:beforeLines="50" w:afterLines="50" w:line="0" w:lineRule="atLeas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▲18、多种报告打印功能（须提供系统界面截图佐证，不提供或提供截图不合格者扣2分）：系统须具备文本打印、带剖面图打印及彩色打印等多种报告打印功能。</w:t>
                  </w:r>
                </w:p>
                <w:p>
                  <w:pPr>
                    <w:pStyle w:val="2"/>
                    <w:ind w:firstLine="0" w:firstLineChars="0"/>
                    <w:rPr>
                      <w:rFonts w:cs="宋体"/>
                      <w:sz w:val="21"/>
                      <w:szCs w:val="21"/>
                    </w:rPr>
                  </w:pPr>
                  <w:r>
                    <w:rPr>
                      <w:rFonts w:hint="eastAsia" w:cs="宋体"/>
                      <w:color w:val="000000" w:themeColor="text1"/>
                      <w14:textFill>
                        <w14:solidFill>
                          <w14:schemeClr w14:val="tx1"/>
                        </w14:solidFill>
                      </w14:textFill>
                    </w:rPr>
                    <w:t>▲</w:t>
                  </w:r>
                  <w:r>
                    <w:rPr>
                      <w:rFonts w:hint="eastAsia" w:cs="宋体"/>
                      <w:sz w:val="21"/>
                      <w:szCs w:val="21"/>
                    </w:rPr>
                    <w:t>19、智能语音读题功能（须提供系统界面截图佐证）:针对儿童青少年心理测查，系统须具备语音读题功能，以便于识字不多的儿童青少年正常做题。</w:t>
                  </w:r>
                </w:p>
                <w:p>
                  <w:pPr>
                    <w:spacing w:beforeLines="50" w:afterLines="50" w:line="0" w:lineRule="atLeast"/>
                    <w:rPr>
                      <w:rFonts w:hAnsi="宋体" w:cs="宋体"/>
                      <w:szCs w:val="21"/>
                    </w:rPr>
                  </w:pPr>
                  <w:r>
                    <w:rPr>
                      <w:rFonts w:hint="eastAsia" w:ascii="宋体" w:hAnsi="宋体" w:cs="宋体"/>
                      <w:szCs w:val="21"/>
                      <w:highlight w:val="yellow"/>
                    </w:rPr>
                    <w:t>▲</w:t>
                  </w:r>
                  <w:r>
                    <w:rPr>
                      <w:rFonts w:hint="eastAsia" w:hAnsi="宋体" w:cs="宋体"/>
                      <w:szCs w:val="21"/>
                      <w:highlight w:val="yellow"/>
                    </w:rPr>
                    <w:t>20、专业统计导出功能</w:t>
                  </w:r>
                  <w:r>
                    <w:rPr>
                      <w:rFonts w:hint="eastAsia" w:ascii="宋体" w:hAnsi="宋体" w:cs="宋体"/>
                      <w:szCs w:val="21"/>
                      <w:highlight w:val="yellow"/>
                    </w:rPr>
                    <w:t>（须提供系统界面截图佐证）</w:t>
                  </w:r>
                  <w:r>
                    <w:rPr>
                      <w:rFonts w:hint="eastAsia" w:hAnsi="宋体" w:cs="宋体"/>
                      <w:szCs w:val="21"/>
                      <w:highlight w:val="yellow"/>
                    </w:rPr>
                    <w:t>：测试数据还可导入到SPSS等专业统计软件或以Excel格式导出，进行更深入的统计分析。</w:t>
                  </w:r>
                </w:p>
                <w:p>
                  <w:pPr>
                    <w:jc w:val="left"/>
                    <w:rPr>
                      <w:rFonts w:ascii="宋体" w:hAnsi="宋体" w:cs="宋体"/>
                      <w:szCs w:val="21"/>
                      <w:highlight w:val="yellow"/>
                    </w:rPr>
                  </w:pPr>
                  <w:r>
                    <w:rPr>
                      <w:rFonts w:hint="eastAsia" w:ascii="宋体" w:hAnsi="宋体" w:cs="宋体"/>
                      <w:szCs w:val="21"/>
                      <w:highlight w:val="yellow"/>
                    </w:rPr>
                    <w:t>★21、心理行为控制风险预警功能（须提供系统界面截图佐证）；</w:t>
                  </w:r>
                </w:p>
                <w:p>
                  <w:pPr>
                    <w:autoSpaceDE w:val="0"/>
                    <w:spacing w:line="0" w:lineRule="atLeast"/>
                    <w:rPr>
                      <w:rFonts w:ascii="宋体" w:hAnsi="宋体" w:cs="宋体"/>
                      <w:szCs w:val="21"/>
                      <w:highlight w:val="yellow"/>
                    </w:rPr>
                  </w:pPr>
                  <w:r>
                    <w:rPr>
                      <w:rFonts w:hint="eastAsia" w:ascii="宋体" w:hAnsi="宋体" w:cs="宋体"/>
                      <w:szCs w:val="21"/>
                      <w:highlight w:val="yellow"/>
                    </w:rPr>
                    <w:t>（1）系统主要由“依赖导向和成就导向心理控制量表”和“冒险行为量表”两个专业心理测试模块量表组成。</w:t>
                  </w:r>
                </w:p>
                <w:p>
                  <w:pPr>
                    <w:autoSpaceDE w:val="0"/>
                    <w:spacing w:line="0" w:lineRule="atLeast"/>
                    <w:rPr>
                      <w:rFonts w:ascii="宋体" w:hAnsi="宋体" w:cs="宋体"/>
                      <w:szCs w:val="21"/>
                      <w:highlight w:val="yellow"/>
                    </w:rPr>
                  </w:pPr>
                  <w:r>
                    <w:rPr>
                      <w:rFonts w:hint="eastAsia" w:ascii="宋体" w:hAnsi="宋体" w:cs="宋体"/>
                      <w:szCs w:val="21"/>
                      <w:highlight w:val="yellow"/>
                    </w:rPr>
                    <w:t>（2）依赖导向和成就导向心理控制量表由被测者以自评的形式独立完成，分为青少年版和父母版。</w:t>
                  </w:r>
                </w:p>
                <w:p>
                  <w:pPr>
                    <w:autoSpaceDE w:val="0"/>
                    <w:spacing w:line="0" w:lineRule="atLeast"/>
                    <w:rPr>
                      <w:rFonts w:ascii="宋体" w:hAnsi="宋体" w:cs="宋体"/>
                      <w:szCs w:val="21"/>
                      <w:highlight w:val="yellow"/>
                    </w:rPr>
                  </w:pPr>
                  <w:r>
                    <w:rPr>
                      <w:rFonts w:hint="eastAsia" w:ascii="宋体" w:hAnsi="宋体" w:cs="宋体"/>
                      <w:szCs w:val="21"/>
                      <w:highlight w:val="yellow"/>
                    </w:rPr>
                    <w:t>（3）冒险行为量表是由被测者以自评的形式独立完成，分为青少年版和成人版。（4）自动生成测试报告。软件自适应分辨率</w:t>
                  </w:r>
                </w:p>
                <w:p>
                  <w:pPr>
                    <w:jc w:val="left"/>
                    <w:rPr>
                      <w:rFonts w:ascii="宋体" w:hAnsi="宋体" w:cs="宋体"/>
                      <w:szCs w:val="21"/>
                      <w:highlight w:val="yellow"/>
                    </w:rPr>
                  </w:pPr>
                  <w:r>
                    <w:rPr>
                      <w:rFonts w:hint="eastAsia" w:ascii="宋体" w:hAnsi="宋体" w:cs="宋体"/>
                      <w:szCs w:val="21"/>
                      <w:highlight w:val="yellow"/>
                    </w:rPr>
                    <w:t>★22、心理安全评估功能（须提供系统界面截图佐证）；</w:t>
                  </w:r>
                </w:p>
                <w:p>
                  <w:pPr>
                    <w:spacing w:afterLines="50"/>
                    <w:ind w:left="210"/>
                    <w:rPr>
                      <w:rFonts w:ascii="宋体" w:hAnsi="宋体" w:cs="宋体"/>
                      <w:kern w:val="0"/>
                      <w:szCs w:val="21"/>
                      <w:highlight w:val="yellow"/>
                    </w:rPr>
                  </w:pPr>
                  <w:r>
                    <w:rPr>
                      <w:rFonts w:hint="eastAsia" w:ascii="宋体" w:hAnsi="宋体" w:cs="宋体"/>
                      <w:kern w:val="0"/>
                      <w:szCs w:val="21"/>
                      <w:highlight w:val="yellow"/>
                    </w:rPr>
                    <w:t>（1）测查部分包括PDQC和SCICP≥2个测试块。</w:t>
                  </w:r>
                </w:p>
                <w:p>
                  <w:pPr>
                    <w:spacing w:afterLines="50"/>
                    <w:ind w:left="210"/>
                    <w:rPr>
                      <w:rFonts w:ascii="宋体" w:hAnsi="宋体" w:cs="宋体"/>
                      <w:kern w:val="0"/>
                      <w:szCs w:val="21"/>
                      <w:highlight w:val="yellow"/>
                    </w:rPr>
                  </w:pPr>
                  <w:r>
                    <w:rPr>
                      <w:rFonts w:hint="eastAsia" w:ascii="宋体" w:hAnsi="宋体" w:cs="宋体"/>
                      <w:kern w:val="0"/>
                      <w:szCs w:val="21"/>
                      <w:highlight w:val="yellow"/>
                    </w:rPr>
                    <w:t>（2）PDQC由被测者以自评的形式独立完成，用于人格障碍的初步筛查。通过该部分的测试，能初步鉴别出疑似的≥9大种人格障碍类型（强迫型人格障碍、反社会型人格障碍、冲动型人格障碍、依赖型人格障碍、偏执型人格障碍、回避/焦虑型人格障碍、表演/癔症型人格障碍、未分型人格障碍等）。</w:t>
                  </w:r>
                </w:p>
                <w:p>
                  <w:pPr>
                    <w:spacing w:afterLines="50"/>
                    <w:ind w:left="210"/>
                    <w:rPr>
                      <w:rFonts w:ascii="宋体" w:hAnsi="宋体" w:cs="宋体"/>
                      <w:kern w:val="0"/>
                      <w:szCs w:val="21"/>
                      <w:highlight w:val="yellow"/>
                    </w:rPr>
                  </w:pPr>
                  <w:r>
                    <w:rPr>
                      <w:rFonts w:hint="eastAsia" w:ascii="宋体" w:hAnsi="宋体" w:cs="宋体"/>
                      <w:kern w:val="0"/>
                      <w:szCs w:val="21"/>
                      <w:highlight w:val="yellow"/>
                    </w:rPr>
                    <w:t>（3）SCICP由专业人员以晤谈的形式，通过半定式提问方式，结合被测者具体描述和列举详细的实例，诊断出被测者的人格障碍情况（包括多重人格障碍）。</w:t>
                  </w:r>
                </w:p>
                <w:p>
                  <w:pPr>
                    <w:spacing w:afterLines="50"/>
                    <w:ind w:left="210"/>
                    <w:rPr>
                      <w:rFonts w:ascii="宋体" w:hAnsi="宋体" w:cs="宋体"/>
                      <w:kern w:val="0"/>
                      <w:szCs w:val="21"/>
                      <w:highlight w:val="yellow"/>
                    </w:rPr>
                  </w:pPr>
                  <w:r>
                    <w:rPr>
                      <w:rFonts w:hint="eastAsia" w:ascii="宋体" w:hAnsi="宋体" w:cs="宋体"/>
                      <w:kern w:val="0"/>
                      <w:szCs w:val="21"/>
                      <w:highlight w:val="yellow"/>
                    </w:rPr>
                    <w:t>（4）系统供相应的干预措施及典型案例的诊疗方案供使用者学习和参考。</w:t>
                  </w:r>
                </w:p>
                <w:p>
                  <w:pPr>
                    <w:jc w:val="left"/>
                    <w:rPr>
                      <w:rFonts w:ascii="宋体" w:hAnsi="宋体" w:cs="宋体"/>
                      <w:szCs w:val="21"/>
                      <w:highlight w:val="yellow"/>
                    </w:rPr>
                  </w:pPr>
                  <w:r>
                    <w:rPr>
                      <w:rFonts w:hint="eastAsia" w:ascii="宋体" w:hAnsi="宋体" w:cs="宋体"/>
                      <w:szCs w:val="21"/>
                      <w:highlight w:val="yellow"/>
                    </w:rPr>
                    <w:t>★23、心理健康对抗训练功能（须提供系统界面截图佐证）；</w:t>
                  </w:r>
                  <w:r>
                    <w:rPr>
                      <w:rFonts w:hint="eastAsia" w:ascii="宋体" w:hAnsi="宋体" w:cs="宋体"/>
                      <w:szCs w:val="21"/>
                      <w:highlight w:val="yellow"/>
                    </w:rPr>
                    <w:br w:type="textWrapping"/>
                  </w:r>
                  <w:r>
                    <w:rPr>
                      <w:rFonts w:hint="eastAsia" w:ascii="宋体" w:hAnsi="宋体" w:cs="宋体"/>
                      <w:szCs w:val="21"/>
                      <w:highlight w:val="yellow"/>
                    </w:rPr>
                    <w:t>1）支持在单个手机端同时、同屏进行双人双手环身心减压训练对抗。</w:t>
                  </w:r>
                  <w:r>
                    <w:rPr>
                      <w:rFonts w:hint="eastAsia" w:ascii="宋体" w:hAnsi="宋体" w:cs="宋体"/>
                      <w:szCs w:val="21"/>
                      <w:highlight w:val="yellow"/>
                    </w:rPr>
                    <w:br w:type="textWrapping"/>
                  </w:r>
                  <w:r>
                    <w:rPr>
                      <w:rFonts w:hint="eastAsia" w:ascii="宋体" w:hAnsi="宋体" w:cs="宋体"/>
                      <w:szCs w:val="21"/>
                      <w:highlight w:val="yellow"/>
                    </w:rPr>
                    <w:t>2）通过心理健康无线手环，同屏、同时实时采集两位训练者的身心数据，并在单个手机端同屏反馈各训练者的HR（心率）、HRV、PNN50、B/M（身心指数）等数值及动画场景。</w:t>
                  </w:r>
                  <w:r>
                    <w:rPr>
                      <w:rFonts w:hint="eastAsia" w:ascii="宋体" w:hAnsi="宋体" w:cs="宋体"/>
                      <w:szCs w:val="21"/>
                      <w:highlight w:val="yellow"/>
                    </w:rPr>
                    <w:br w:type="textWrapping"/>
                  </w:r>
                  <w:r>
                    <w:rPr>
                      <w:rFonts w:hint="eastAsia" w:ascii="宋体" w:hAnsi="宋体" w:cs="宋体"/>
                      <w:szCs w:val="21"/>
                      <w:highlight w:val="yellow"/>
                    </w:rPr>
                    <w:t>3）训练过程中，同时、同屏显示两个训练者各自的动画场景，动画场景在同屏上随其身心指数变化而实时动态变化，形成互动，直观反映训练效果。</w:t>
                  </w:r>
                  <w:r>
                    <w:rPr>
                      <w:rFonts w:hint="eastAsia" w:ascii="宋体" w:hAnsi="宋体" w:cs="宋体"/>
                      <w:szCs w:val="21"/>
                      <w:highlight w:val="yellow"/>
                    </w:rPr>
                    <w:br w:type="textWrapping"/>
                  </w:r>
                  <w:r>
                    <w:rPr>
                      <w:rFonts w:hint="eastAsia" w:ascii="宋体" w:hAnsi="宋体" w:cs="宋体"/>
                      <w:szCs w:val="21"/>
                      <w:highlight w:val="yellow"/>
                    </w:rPr>
                    <w:t>4）训练完成后同时、同屏自动生成报告，报告内容包括HR（心率）、HRV、PNN50、B/M（身心指数）、HR（心率）曲线图、B/M（身心指数）曲线图及对抗排名。</w:t>
                  </w:r>
                </w:p>
                <w:p>
                  <w:pPr>
                    <w:jc w:val="left"/>
                    <w:rPr>
                      <w:rFonts w:ascii="宋体" w:hAnsi="宋体" w:cs="宋体"/>
                      <w:szCs w:val="21"/>
                      <w:highlight w:val="yellow"/>
                    </w:rPr>
                  </w:pPr>
                  <w:r>
                    <w:rPr>
                      <w:rFonts w:hint="eastAsia" w:ascii="宋体" w:hAnsi="宋体" w:cs="宋体"/>
                      <w:szCs w:val="21"/>
                      <w:highlight w:val="yellow"/>
                    </w:rPr>
                    <w:t>★24、精神指数评估功能（须提供系统界面截图佐证）；</w:t>
                  </w:r>
                </w:p>
                <w:p>
                  <w:pPr>
                    <w:spacing w:line="0" w:lineRule="atLeast"/>
                    <w:jc w:val="left"/>
                    <w:rPr>
                      <w:rFonts w:ascii="宋体" w:hAnsi="宋体" w:cs="宋体"/>
                      <w:szCs w:val="21"/>
                      <w:highlight w:val="yellow"/>
                    </w:rPr>
                  </w:pPr>
                  <w:r>
                    <w:rPr>
                      <w:rFonts w:hint="eastAsia" w:ascii="宋体" w:hAnsi="宋体" w:cs="宋体"/>
                      <w:szCs w:val="21"/>
                      <w:highlight w:val="yellow"/>
                    </w:rPr>
                    <w:t>（1）通过智能手环可采集穿戴者生理数据，并无线传输至手机端，在手机端实时显示穿戴者各项身心数值，包括SDNN、LF/HF、RMSSD、精神能量耗竭指数、身心健康风险指数、心理弹性适应指数、实时心率等。</w:t>
                  </w:r>
                  <w:r>
                    <w:rPr>
                      <w:rFonts w:hint="eastAsia" w:ascii="宋体" w:hAnsi="宋体" w:cs="宋体"/>
                      <w:szCs w:val="21"/>
                      <w:highlight w:val="yellow"/>
                    </w:rPr>
                    <w:br w:type="textWrapping"/>
                  </w:r>
                  <w:r>
                    <w:rPr>
                      <w:rFonts w:hint="eastAsia" w:ascii="宋体" w:hAnsi="宋体" w:cs="宋体"/>
                      <w:szCs w:val="21"/>
                      <w:highlight w:val="yellow"/>
                    </w:rPr>
                    <w:t>（2）根据数据生成动态的PNN50占比图、LFN&amp;HFN柱状图、心率曲线图、RMSSD曲线图、HFn曲线图，客观反映穿戴者身心状态。</w:t>
                  </w:r>
                  <w:r>
                    <w:rPr>
                      <w:rFonts w:hint="eastAsia" w:ascii="宋体" w:hAnsi="宋体" w:cs="宋体"/>
                      <w:szCs w:val="21"/>
                      <w:highlight w:val="yellow"/>
                    </w:rPr>
                    <w:br w:type="textWrapping"/>
                  </w:r>
                  <w:r>
                    <w:rPr>
                      <w:rFonts w:hint="eastAsia" w:ascii="宋体" w:hAnsi="宋体" w:cs="宋体"/>
                      <w:szCs w:val="21"/>
                      <w:highlight w:val="yellow"/>
                    </w:rPr>
                    <w:t>（3）评估结束，自动生成精神能量报告，内容包含评价及相关建议。</w:t>
                  </w:r>
                </w:p>
                <w:p>
                  <w:pPr>
                    <w:jc w:val="left"/>
                    <w:rPr>
                      <w:rFonts w:ascii="宋体" w:hAnsi="宋体" w:cs="宋体"/>
                      <w:szCs w:val="21"/>
                      <w:highlight w:val="yellow"/>
                    </w:rPr>
                  </w:pPr>
                  <w:r>
                    <w:rPr>
                      <w:rFonts w:hint="eastAsia" w:ascii="宋体" w:hAnsi="宋体" w:cs="宋体"/>
                      <w:szCs w:val="21"/>
                      <w:highlight w:val="yellow"/>
                    </w:rPr>
                    <w:t>★25、可拓展云平台互联功能（须提供系统界面截图佐证）；</w:t>
                  </w:r>
                </w:p>
                <w:p>
                  <w:pPr>
                    <w:spacing w:line="0" w:lineRule="atLeast"/>
                    <w:jc w:val="left"/>
                    <w:rPr>
                      <w:rFonts w:ascii="宋体" w:hAnsi="宋体" w:cs="宋体"/>
                      <w:szCs w:val="21"/>
                      <w:highlight w:val="yellow"/>
                    </w:rPr>
                  </w:pPr>
                  <w:r>
                    <w:rPr>
                      <w:rFonts w:hint="eastAsia" w:ascii="宋体" w:hAnsi="宋体" w:cs="宋体"/>
                      <w:szCs w:val="21"/>
                      <w:highlight w:val="yellow"/>
                    </w:rPr>
                    <w:t>（1）、在云平台系统可注册登记指纹信息，智能生成训练者的训练方案，并传输给智能减压放松系统。</w:t>
                  </w:r>
                </w:p>
                <w:p>
                  <w:pPr>
                    <w:spacing w:line="0" w:lineRule="atLeast"/>
                    <w:jc w:val="left"/>
                    <w:rPr>
                      <w:rFonts w:ascii="宋体" w:hAnsi="宋体" w:cs="宋体"/>
                      <w:szCs w:val="21"/>
                      <w:highlight w:val="yellow"/>
                    </w:rPr>
                  </w:pPr>
                  <w:r>
                    <w:rPr>
                      <w:rFonts w:hint="eastAsia" w:ascii="宋体" w:hAnsi="宋体" w:cs="宋体"/>
                      <w:szCs w:val="21"/>
                      <w:highlight w:val="yellow"/>
                    </w:rPr>
                    <w:t>（2）、智能减压放松系统无需注册，通过一键指纹登录到智能减压放松系统，直接读取云平台智能生成的个性化训练方案进行训练。</w:t>
                  </w:r>
                </w:p>
                <w:p>
                  <w:pPr>
                    <w:spacing w:line="0" w:lineRule="atLeast"/>
                    <w:jc w:val="left"/>
                    <w:rPr>
                      <w:rFonts w:ascii="宋体" w:hAnsi="宋体" w:cs="宋体"/>
                      <w:szCs w:val="21"/>
                      <w:highlight w:val="yellow"/>
                    </w:rPr>
                  </w:pPr>
                  <w:r>
                    <w:rPr>
                      <w:rFonts w:hint="eastAsia" w:ascii="宋体" w:hAnsi="宋体" w:cs="宋体"/>
                      <w:szCs w:val="21"/>
                      <w:highlight w:val="yellow"/>
                    </w:rPr>
                    <w:t>（3）、智能减压放松系统训练完成后，训练报告可直接上传云平台系统，实现数据共享，直接在云平台查看。</w:t>
                  </w:r>
                </w:p>
                <w:p>
                  <w:pPr>
                    <w:pStyle w:val="2"/>
                    <w:ind w:firstLine="0" w:firstLineChars="0"/>
                    <w:rPr>
                      <w:rFonts w:cs="宋体"/>
                      <w:sz w:val="21"/>
                      <w:szCs w:val="21"/>
                      <w:highlight w:val="yellow"/>
                    </w:rPr>
                  </w:pPr>
                  <w:r>
                    <w:rPr>
                      <w:rFonts w:hint="eastAsia" w:cs="宋体"/>
                      <w:sz w:val="21"/>
                      <w:szCs w:val="21"/>
                      <w:highlight w:val="yellow"/>
                    </w:rPr>
                    <w:t>★26、智能情绪疏导功能（须提供系统界面截图佐证）:系统可提供不少于15种情绪疏导模式（包含但不限于焦虑缓解、疲劳恢复、睡眠改善、抑郁排解、疼痛缓解、成瘾控制、恐惧脱敏、注意集中、烦躁平复等）。</w:t>
                  </w:r>
                </w:p>
                <w:p>
                  <w:pPr>
                    <w:pStyle w:val="2"/>
                    <w:ind w:firstLine="0" w:firstLineChars="0"/>
                    <w:rPr>
                      <w:rFonts w:cs="宋体"/>
                      <w:sz w:val="21"/>
                      <w:szCs w:val="21"/>
                      <w:highlight w:val="yellow"/>
                    </w:rPr>
                  </w:pPr>
                  <w:r>
                    <w:rPr>
                      <w:rFonts w:hint="eastAsia" w:cs="宋体"/>
                      <w:sz w:val="21"/>
                      <w:szCs w:val="21"/>
                      <w:highlight w:val="yellow"/>
                    </w:rPr>
                    <w:t>★27、智能精神心理状态动态图（须提供系统界面截图佐证）：训练结束，要求系统自动生成脑波疏导动态图、经颅疏导动态图、兴奋状态趋势图、中枢活动状态图、自主神经系统示意图、生理指标动态图等。</w:t>
                  </w:r>
                </w:p>
                <w:p>
                  <w:pPr>
                    <w:rPr>
                      <w:rFonts w:ascii="宋体" w:hAnsi="宋体"/>
                      <w:szCs w:val="21"/>
                      <w:highlight w:val="yellow"/>
                    </w:rPr>
                  </w:pPr>
                  <w:r>
                    <w:rPr>
                      <w:rFonts w:hint="eastAsia" w:ascii="宋体" w:hAnsi="宋体" w:cs="宋体"/>
                      <w:szCs w:val="21"/>
                      <w:highlight w:val="yellow"/>
                    </w:rPr>
                    <w:t>★</w:t>
                  </w:r>
                  <w:r>
                    <w:rPr>
                      <w:rFonts w:hint="eastAsia"/>
                      <w:highlight w:val="yellow"/>
                    </w:rPr>
                    <w:t>28、行为观察分析功能：系统可记录并分析被被观察对象的动作，姿势，运动，位置，表情，情绪，社会交往，人机交互等各种活动，通过分析判断可得出各种行为第一次发生的时间、总计发生的次数、频率、每次发生的时间、总的持续时间、总的持续时间在全部观察时间中所占的百分比、最短的持续时间、最长的持续时间、平均的持续时间、总持续时间、持续时间的标准差、持续时间间隔置信区间等。</w:t>
                  </w:r>
                </w:p>
                <w:p>
                  <w:pPr>
                    <w:rPr>
                      <w:highlight w:val="yellow"/>
                    </w:rPr>
                  </w:pPr>
                  <w:r>
                    <w:rPr>
                      <w:rFonts w:hint="eastAsia" w:ascii="宋体" w:hAnsi="宋体" w:cs="宋体"/>
                      <w:szCs w:val="21"/>
                      <w:highlight w:val="yellow"/>
                    </w:rPr>
                    <w:t>★</w:t>
                  </w:r>
                  <w:r>
                    <w:rPr>
                      <w:rFonts w:hint="eastAsia"/>
                      <w:highlight w:val="yellow"/>
                    </w:rPr>
                    <w:t>29、心理疗愈训练功能：来访者通过智能化训练即可轻松学会控制、调节自身的生理机能，从而达到放松心理、肌体和防治心理疾病的目的。系统可将不同应用场景自动划归不同的系统架构中，既可满足大批量来访者同时训练又兼特殊人员一对一专项训练的特殊情况。系统智能采集来访者的心率、血氧、脉搏等HRV指标，并根据上述指标实现专注力、注意力、稳定性、反应时等方面的评估和训练。通过采集δ（1－3Hz）波、θ（4－7Hz）波、α（8－13Hz）波、β（14－30Hz）波等EEG指标可对来访者进行催眠减压、身心放松、积极情绪等方面的提升和训练。</w:t>
                  </w:r>
                </w:p>
                <w:p>
                  <w:pPr>
                    <w:rPr>
                      <w:highlight w:val="yellow"/>
                    </w:rPr>
                  </w:pPr>
                  <w:r>
                    <w:rPr>
                      <w:rFonts w:hint="eastAsia" w:ascii="宋体" w:hAnsi="宋体" w:cs="宋体"/>
                      <w:szCs w:val="21"/>
                      <w:highlight w:val="yellow"/>
                    </w:rPr>
                    <w:t>★</w:t>
                  </w:r>
                  <w:r>
                    <w:rPr>
                      <w:rFonts w:hint="eastAsia"/>
                      <w:highlight w:val="yellow"/>
                    </w:rPr>
                    <w:t>30、心理应激训练功能：系统通过对来访者应激源的测试和分析可快速准确找到对来访者造成负面影响的心理应激事件，智能对应激刺激的程度进行分析判断，并智能结合生物反馈疗法快速降低和解除因负面应激因素对测试者造成的不良影响。</w:t>
                  </w:r>
                </w:p>
                <w:p>
                  <w:pPr>
                    <w:pStyle w:val="2"/>
                    <w:ind w:firstLine="0" w:firstLineChars="0"/>
                    <w:rPr>
                      <w:rFonts w:cs="宋体"/>
                      <w:sz w:val="21"/>
                      <w:szCs w:val="21"/>
                      <w:highlight w:val="yellow"/>
                    </w:rPr>
                  </w:pPr>
                  <w:r>
                    <w:rPr>
                      <w:rFonts w:hint="eastAsia" w:cs="宋体"/>
                      <w:sz w:val="21"/>
                      <w:szCs w:val="21"/>
                      <w:highlight w:val="yellow"/>
                    </w:rPr>
                    <w:t>★</w:t>
                  </w:r>
                  <w:r>
                    <w:rPr>
                      <w:rFonts w:hint="eastAsia" w:ascii="Times New Roman" w:hAnsi="Times New Roman"/>
                      <w:sz w:val="21"/>
                      <w:highlight w:val="yellow"/>
                    </w:rPr>
                    <w:t>31、眼动脱敏技术：系统提供基于EMDR眼动脱敏技术的干预方案，支持自主调节眼动训练摆动的速度。包含不低于8个训练步骤：（1）负性情绪联结与评估；（2）正负性情绪分离；（3）负性情绪打包；（4）眼动训练准备；（5）快速眼动训练；（6）温暖画面联结；（7）正性理念的植入；（8）完成训练与效果评估。训练过程中实时监控训练者各项生理指标，训练结束后出具详细的训练报告。</w:t>
                  </w:r>
                </w:p>
                <w:p>
                  <w:pPr>
                    <w:pStyle w:val="2"/>
                    <w:ind w:firstLine="0" w:firstLineChars="0"/>
                    <w:rPr>
                      <w:rFonts w:ascii="Times New Roman" w:hAnsi="Times New Roman"/>
                      <w:sz w:val="21"/>
                      <w:highlight w:val="yellow"/>
                    </w:rPr>
                  </w:pPr>
                  <w:r>
                    <w:rPr>
                      <w:rFonts w:hint="eastAsia" w:cs="宋体"/>
                      <w:sz w:val="21"/>
                      <w:szCs w:val="21"/>
                      <w:highlight w:val="yellow"/>
                    </w:rPr>
                    <w:t>★</w:t>
                  </w:r>
                  <w:r>
                    <w:rPr>
                      <w:rFonts w:hint="eastAsia" w:ascii="Times New Roman" w:hAnsi="Times New Roman"/>
                      <w:sz w:val="21"/>
                      <w:highlight w:val="yellow"/>
                    </w:rPr>
                    <w:t>32、神志病中医古籍检索功能</w:t>
                  </w:r>
                </w:p>
                <w:p>
                  <w:pPr>
                    <w:pStyle w:val="2"/>
                    <w:ind w:firstLine="0" w:firstLineChars="0"/>
                    <w:rPr>
                      <w:rFonts w:ascii="Times New Roman" w:hAnsi="Times New Roman"/>
                      <w:sz w:val="21"/>
                      <w:highlight w:val="yellow"/>
                    </w:rPr>
                  </w:pPr>
                  <w:r>
                    <w:rPr>
                      <w:rFonts w:hint="eastAsia" w:ascii="Times New Roman" w:hAnsi="Times New Roman"/>
                      <w:sz w:val="21"/>
                      <w:highlight w:val="yellow"/>
                    </w:rPr>
                    <w:t>（1）系统</w:t>
                  </w:r>
                  <w:r>
                    <w:rPr>
                      <w:rFonts w:ascii="Times New Roman" w:hAnsi="Times New Roman"/>
                      <w:sz w:val="21"/>
                      <w:highlight w:val="yellow"/>
                    </w:rPr>
                    <w:t>收集自先秦至民国时期有关神志病（以精神分裂症、抑郁症两个精神科常见疾病为主）的病名、治则治法、经方验方和医案等古籍文献；</w:t>
                  </w:r>
                </w:p>
                <w:p>
                  <w:pPr>
                    <w:pStyle w:val="2"/>
                    <w:ind w:firstLine="0" w:firstLineChars="0"/>
                    <w:rPr>
                      <w:rFonts w:ascii="Times New Roman" w:hAnsi="Times New Roman"/>
                      <w:sz w:val="21"/>
                      <w:highlight w:val="yellow"/>
                    </w:rPr>
                  </w:pPr>
                  <w:r>
                    <w:rPr>
                      <w:rFonts w:hint="eastAsia" w:ascii="Times New Roman" w:hAnsi="Times New Roman"/>
                      <w:sz w:val="21"/>
                      <w:highlight w:val="yellow"/>
                    </w:rPr>
                    <w:t>（2）</w:t>
                  </w:r>
                  <w:r>
                    <w:rPr>
                      <w:rFonts w:ascii="Times New Roman" w:hAnsi="Times New Roman"/>
                      <w:sz w:val="21"/>
                      <w:highlight w:val="yellow"/>
                    </w:rPr>
                    <w:t>系统文献来源从先秦时期到民国时期这一悠长历史时期所有的关于神志病（精神病）的中医经典书籍，这些书籍记载有关神志病（以精神分裂症、抑郁症两个精神科常见疾病为主）的疾病名称、治疗原则和中药处方等</w:t>
                  </w:r>
                  <w:r>
                    <w:rPr>
                      <w:rFonts w:hint="eastAsia" w:ascii="Times New Roman" w:hAnsi="Times New Roman"/>
                      <w:sz w:val="21"/>
                      <w:highlight w:val="yellow"/>
                    </w:rPr>
                    <w:t>。</w:t>
                  </w:r>
                </w:p>
                <w:p>
                  <w:pPr>
                    <w:pStyle w:val="2"/>
                    <w:ind w:firstLine="0" w:firstLineChars="0"/>
                    <w:rPr>
                      <w:rFonts w:ascii="Times New Roman" w:hAnsi="Times New Roman"/>
                      <w:sz w:val="21"/>
                      <w:highlight w:val="yellow"/>
                    </w:rPr>
                  </w:pPr>
                  <w:r>
                    <w:rPr>
                      <w:rFonts w:hint="eastAsia" w:ascii="Times New Roman" w:hAnsi="Times New Roman"/>
                      <w:sz w:val="21"/>
                      <w:highlight w:val="yellow"/>
                    </w:rPr>
                    <w:t>（3）系统</w:t>
                  </w:r>
                  <w:r>
                    <w:rPr>
                      <w:rFonts w:ascii="Times New Roman" w:hAnsi="Times New Roman"/>
                      <w:sz w:val="21"/>
                      <w:highlight w:val="yellow"/>
                    </w:rPr>
                    <w:t>对中医神志病相关病名别称进行相关标识，并按病名、治法、方剂和朝代等分类，并能对神志病进行多种检索</w:t>
                  </w:r>
                  <w:r>
                    <w:rPr>
                      <w:rFonts w:hint="eastAsia" w:ascii="Times New Roman" w:hAnsi="Times New Roman"/>
                      <w:sz w:val="21"/>
                      <w:highlight w:val="yellow"/>
                    </w:rPr>
                    <w:t>。</w:t>
                  </w:r>
                </w:p>
                <w:p>
                  <w:pPr>
                    <w:pStyle w:val="2"/>
                    <w:ind w:firstLine="0" w:firstLineChars="0"/>
                    <w:rPr>
                      <w:rFonts w:ascii="Times New Roman" w:hAnsi="Times New Roman"/>
                      <w:sz w:val="21"/>
                      <w:highlight w:val="yellow"/>
                    </w:rPr>
                  </w:pPr>
                  <w:r>
                    <w:rPr>
                      <w:rFonts w:hint="eastAsia" w:ascii="Times New Roman" w:hAnsi="Times New Roman"/>
                      <w:sz w:val="21"/>
                      <w:highlight w:val="yellow"/>
                    </w:rPr>
                    <w:t>（4）系统</w:t>
                  </w:r>
                  <w:r>
                    <w:rPr>
                      <w:rFonts w:ascii="Times New Roman" w:hAnsi="Times New Roman"/>
                      <w:sz w:val="21"/>
                      <w:highlight w:val="yellow"/>
                    </w:rPr>
                    <w:t>数据库涉及神志病古籍上万余条，浏览相关条文极为便捷，为临床医生和科研人员研究提供丰富的原始资料</w:t>
                  </w:r>
                  <w:r>
                    <w:rPr>
                      <w:rFonts w:hint="eastAsia" w:ascii="Times New Roman" w:hAnsi="Times New Roman"/>
                      <w:sz w:val="21"/>
                      <w:highlight w:val="yellow"/>
                    </w:rPr>
                    <w:t>。</w:t>
                  </w:r>
                </w:p>
                <w:p>
                  <w:pPr>
                    <w:pStyle w:val="2"/>
                    <w:ind w:firstLine="0" w:firstLineChars="0"/>
                    <w:rPr>
                      <w:rFonts w:ascii="Times New Roman" w:hAnsi="Times New Roman"/>
                      <w:sz w:val="21"/>
                      <w:highlight w:val="yellow"/>
                    </w:rPr>
                  </w:pPr>
                  <w:r>
                    <w:rPr>
                      <w:rFonts w:hint="eastAsia" w:ascii="Times New Roman" w:hAnsi="Times New Roman"/>
                      <w:sz w:val="21"/>
                      <w:highlight w:val="yellow"/>
                    </w:rPr>
                    <w:t>（5）系统</w:t>
                  </w:r>
                  <w:r>
                    <w:rPr>
                      <w:rFonts w:ascii="Times New Roman" w:hAnsi="Times New Roman"/>
                      <w:sz w:val="21"/>
                      <w:highlight w:val="yellow"/>
                    </w:rPr>
                    <w:t>古籍文献量统计本数据库中的书籍的数量，按照朝代的顺序以柱状图展示</w:t>
                  </w:r>
                  <w:r>
                    <w:rPr>
                      <w:rFonts w:hint="eastAsia" w:ascii="Times New Roman" w:hAnsi="Times New Roman"/>
                      <w:sz w:val="21"/>
                      <w:highlight w:val="yellow"/>
                    </w:rPr>
                    <w:t>。</w:t>
                  </w:r>
                </w:p>
                <w:p>
                  <w:pPr>
                    <w:pStyle w:val="2"/>
                    <w:ind w:firstLine="0" w:firstLineChars="0"/>
                    <w:rPr>
                      <w:rFonts w:ascii="Times New Roman" w:hAnsi="Times New Roman"/>
                      <w:sz w:val="21"/>
                      <w:highlight w:val="yellow"/>
                    </w:rPr>
                  </w:pPr>
                  <w:r>
                    <w:rPr>
                      <w:rFonts w:hint="eastAsia" w:ascii="Times New Roman" w:hAnsi="Times New Roman"/>
                      <w:sz w:val="21"/>
                      <w:highlight w:val="yellow"/>
                    </w:rPr>
                    <w:t>（6）系统</w:t>
                  </w:r>
                  <w:r>
                    <w:rPr>
                      <w:rFonts w:ascii="Times New Roman" w:hAnsi="Times New Roman"/>
                      <w:sz w:val="21"/>
                      <w:highlight w:val="yellow"/>
                    </w:rPr>
                    <w:t>支持古籍及现代引文导入、编辑、查询和下载</w:t>
                  </w:r>
                  <w:r>
                    <w:rPr>
                      <w:rFonts w:hint="eastAsia" w:ascii="Times New Roman" w:hAnsi="Times New Roman"/>
                      <w:sz w:val="21"/>
                      <w:highlight w:val="yellow"/>
                    </w:rPr>
                    <w:t>。</w:t>
                  </w:r>
                </w:p>
                <w:p>
                  <w:pPr>
                    <w:pStyle w:val="4"/>
                    <w:spacing w:line="0" w:lineRule="atLeast"/>
                    <w:jc w:val="left"/>
                    <w:rPr>
                      <w:rFonts w:hAnsi="宋体" w:cs="宋体"/>
                      <w:highlight w:val="yellow"/>
                    </w:rPr>
                  </w:pPr>
                  <w:r>
                    <w:rPr>
                      <w:rFonts w:hint="eastAsia" w:ascii="Times New Roman" w:hAnsi="Times New Roman" w:cs="Times New Roman"/>
                      <w:szCs w:val="22"/>
                      <w:highlight w:val="yellow"/>
                    </w:rPr>
                    <w:t>（7）系统</w:t>
                  </w:r>
                  <w:r>
                    <w:rPr>
                      <w:rFonts w:ascii="Times New Roman" w:hAnsi="Times New Roman" w:cs="Times New Roman"/>
                      <w:szCs w:val="22"/>
                      <w:highlight w:val="yellow"/>
                    </w:rPr>
                    <w:t>包含数据库系统和临床辅助诊疗终端，通过移动互联网技术可方便检索和辅助中医治疗决策</w:t>
                  </w:r>
                  <w:r>
                    <w:rPr>
                      <w:rFonts w:hint="eastAsia" w:ascii="Times New Roman" w:hAnsi="Times New Roman" w:cs="Times New Roman"/>
                      <w:szCs w:val="22"/>
                      <w:highlight w:val="yellow"/>
                    </w:rPr>
                    <w:t>。</w:t>
                  </w:r>
                </w:p>
                <w:p>
                  <w:pPr>
                    <w:pStyle w:val="2"/>
                    <w:ind w:firstLine="0" w:firstLineChars="0"/>
                    <w:rPr>
                      <w:rFonts w:cs="宋体"/>
                      <w:sz w:val="21"/>
                      <w:szCs w:val="21"/>
                      <w:highlight w:val="yellow"/>
                    </w:rPr>
                  </w:pPr>
                  <w:r>
                    <w:rPr>
                      <w:rFonts w:hint="eastAsia" w:cs="宋体"/>
                      <w:sz w:val="21"/>
                      <w:szCs w:val="21"/>
                      <w:highlight w:val="yellow"/>
                    </w:rPr>
                    <w:t>★34、心理情绪脑波监测功能（须提供系统界面截图佐证）：通过可穿戴便携脑波仪，让全彩色LED灯的色彩变化根据自身情绪实时变化，可进行注意力训练、放松训练、正念冥想及心理压力测试。</w:t>
                  </w:r>
                </w:p>
                <w:p>
                  <w:pPr>
                    <w:widowControl/>
                    <w:adjustRightInd w:val="0"/>
                    <w:spacing w:line="0" w:lineRule="atLeast"/>
                    <w:jc w:val="left"/>
                    <w:rPr>
                      <w:rFonts w:ascii="宋体" w:hAnsi="宋体" w:cs="宋体"/>
                      <w:szCs w:val="21"/>
                      <w:highlight w:val="yellow"/>
                    </w:rPr>
                  </w:pPr>
                  <w:r>
                    <w:rPr>
                      <w:rFonts w:hint="eastAsia" w:ascii="宋体" w:hAnsi="宋体" w:cs="宋体"/>
                      <w:szCs w:val="21"/>
                      <w:highlight w:val="yellow"/>
                    </w:rPr>
                    <w:t>★35、自助式双模宣泄训练（须提供系统界面截图佐证）</w:t>
                  </w:r>
                </w:p>
                <w:p>
                  <w:pPr>
                    <w:widowControl/>
                    <w:adjustRightInd w:val="0"/>
                    <w:spacing w:line="0" w:lineRule="atLeast"/>
                    <w:jc w:val="left"/>
                    <w:rPr>
                      <w:rFonts w:ascii="宋体" w:hAnsi="宋体" w:cs="宋体"/>
                      <w:szCs w:val="21"/>
                      <w:highlight w:val="yellow"/>
                    </w:rPr>
                  </w:pPr>
                  <w:r>
                    <w:rPr>
                      <w:rFonts w:hint="eastAsia" w:ascii="宋体" w:hAnsi="宋体" w:cs="宋体"/>
                      <w:szCs w:val="21"/>
                      <w:highlight w:val="yellow"/>
                    </w:rPr>
                    <w:t>智能模式和体验模式自由选择，灵活满足用户实际使用情况。</w:t>
                  </w:r>
                </w:p>
                <w:p>
                  <w:pPr>
                    <w:spacing w:beforeLines="50" w:afterLines="50" w:line="0" w:lineRule="atLeast"/>
                    <w:rPr>
                      <w:rFonts w:ascii="宋体" w:hAnsi="宋体" w:cs="宋体"/>
                      <w:color w:val="000000" w:themeColor="text1"/>
                      <w14:textFill>
                        <w14:solidFill>
                          <w14:schemeClr w14:val="tx1"/>
                        </w14:solidFill>
                      </w14:textFill>
                    </w:rPr>
                  </w:pPr>
                  <w:r>
                    <w:rPr>
                      <w:rFonts w:hint="eastAsia" w:ascii="宋体" w:hAnsi="宋体" w:cs="宋体"/>
                      <w:szCs w:val="21"/>
                      <w:highlight w:val="yellow"/>
                    </w:rPr>
                    <w:t>36</w:t>
                  </w:r>
                  <w:r>
                    <w:rPr>
                      <w:rFonts w:hint="eastAsia" w:ascii="宋体" w:hAnsi="宋体" w:cs="宋体"/>
                      <w:color w:val="000000" w:themeColor="text1"/>
                      <w14:textFill>
                        <w14:solidFill>
                          <w14:schemeClr w14:val="tx1"/>
                        </w14:solidFill>
                      </w14:textFill>
                    </w:rPr>
                    <w:t>、配置要求：</w:t>
                  </w:r>
                </w:p>
                <w:p>
                  <w:pPr>
                    <w:spacing w:beforeLines="50" w:afterLines="50" w:line="0" w:lineRule="atLeast"/>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（1）标准配置：加密狗2只，说明书（使用手册）2份，包装盒2个，专业心理测量书籍2套，合格证+保修卡2张；</w:t>
                  </w:r>
                </w:p>
                <w:p>
                  <w:pPr>
                    <w:spacing w:beforeLines="50" w:afterLines="50" w:line="0" w:lineRule="atLeast"/>
                    <w:rPr>
                      <w:rFonts w:ascii="宋体" w:hAnsi="宋体" w:cs="宋体"/>
                      <w:color w:val="000000" w:themeColor="text1"/>
                      <w14:textFill>
                        <w14:solidFill>
                          <w14:schemeClr w14:val="tx1"/>
                        </w14:solidFill>
                      </w14:textFill>
                    </w:rPr>
                  </w:pPr>
                </w:p>
              </w:tc>
            </w:tr>
          </w:tbl>
          <w:p/>
          <w:p>
            <w:pPr>
              <w:widowControl/>
              <w:spacing w:line="240" w:lineRule="auto"/>
              <w:ind w:firstLine="0" w:firstLineChars="0"/>
              <w:jc w:val="left"/>
              <w:rPr>
                <w:rFonts w:ascii="宋体" w:hAnsi="宋体" w:cs="宋体"/>
                <w:color w:val="000000"/>
                <w:kern w:val="0"/>
                <w:sz w:val="22"/>
              </w:rPr>
            </w:pPr>
          </w:p>
        </w:tc>
      </w:tr>
      <w:tr>
        <w:tblPrEx>
          <w:tblLayout w:type="fixed"/>
          <w:tblCellMar>
            <w:top w:w="0" w:type="dxa"/>
            <w:left w:w="108" w:type="dxa"/>
            <w:bottom w:w="0" w:type="dxa"/>
            <w:right w:w="108" w:type="dxa"/>
          </w:tblCellMar>
        </w:tblPrEx>
        <w:trPr>
          <w:trHeight w:val="312" w:hRule="atLeast"/>
        </w:trPr>
        <w:tc>
          <w:tcPr>
            <w:tcW w:w="11580" w:type="dxa"/>
            <w:vMerge w:val="restart"/>
            <w:tcBorders>
              <w:top w:val="single" w:color="auto" w:sz="4" w:space="0"/>
              <w:left w:val="nil"/>
              <w:bottom w:val="nil"/>
              <w:right w:val="nil"/>
            </w:tcBorders>
            <w:vAlign w:val="center"/>
          </w:tcPr>
          <w:p>
            <w:pPr>
              <w:widowControl/>
              <w:spacing w:line="240" w:lineRule="auto"/>
              <w:ind w:firstLine="0" w:firstLineChars="0"/>
              <w:jc w:val="left"/>
              <w:rPr>
                <w:rFonts w:ascii="宋体" w:hAnsi="宋体" w:cs="宋体"/>
                <w:color w:val="000000"/>
                <w:kern w:val="0"/>
                <w:sz w:val="22"/>
              </w:rPr>
            </w:pPr>
          </w:p>
        </w:tc>
      </w:tr>
      <w:tr>
        <w:tblPrEx>
          <w:tblLayout w:type="fixed"/>
          <w:tblCellMar>
            <w:top w:w="0" w:type="dxa"/>
            <w:left w:w="108" w:type="dxa"/>
            <w:bottom w:w="0" w:type="dxa"/>
            <w:right w:w="108" w:type="dxa"/>
          </w:tblCellMar>
        </w:tblPrEx>
        <w:trPr>
          <w:trHeight w:val="312" w:hRule="atLeast"/>
        </w:trPr>
        <w:tc>
          <w:tcPr>
            <w:tcW w:w="11580" w:type="dxa"/>
            <w:vMerge w:val="continue"/>
            <w:tcBorders>
              <w:top w:val="single" w:color="auto" w:sz="4" w:space="0"/>
              <w:left w:val="nil"/>
              <w:bottom w:val="nil"/>
              <w:right w:val="nil"/>
            </w:tcBorders>
            <w:vAlign w:val="center"/>
          </w:tcPr>
          <w:p>
            <w:pPr>
              <w:widowControl/>
              <w:spacing w:line="240" w:lineRule="auto"/>
              <w:ind w:firstLine="0" w:firstLineChars="0"/>
              <w:jc w:val="left"/>
              <w:rPr>
                <w:rFonts w:ascii="宋体" w:hAnsi="宋体" w:cs="宋体"/>
                <w:color w:val="000000"/>
                <w:kern w:val="0"/>
                <w:sz w:val="22"/>
              </w:rPr>
            </w:pPr>
          </w:p>
        </w:tc>
      </w:tr>
      <w:tr>
        <w:tblPrEx>
          <w:tblLayout w:type="fixed"/>
          <w:tblCellMar>
            <w:top w:w="0" w:type="dxa"/>
            <w:left w:w="108" w:type="dxa"/>
            <w:bottom w:w="0" w:type="dxa"/>
            <w:right w:w="108" w:type="dxa"/>
          </w:tblCellMar>
        </w:tblPrEx>
        <w:trPr>
          <w:trHeight w:val="312" w:hRule="atLeast"/>
        </w:trPr>
        <w:tc>
          <w:tcPr>
            <w:tcW w:w="11580" w:type="dxa"/>
            <w:vMerge w:val="continue"/>
            <w:tcBorders>
              <w:top w:val="single" w:color="auto" w:sz="4" w:space="0"/>
              <w:left w:val="nil"/>
              <w:bottom w:val="nil"/>
              <w:right w:val="nil"/>
            </w:tcBorders>
            <w:vAlign w:val="center"/>
          </w:tcPr>
          <w:p>
            <w:pPr>
              <w:widowControl/>
              <w:spacing w:line="240" w:lineRule="auto"/>
              <w:ind w:firstLine="0" w:firstLineChars="0"/>
              <w:jc w:val="left"/>
              <w:rPr>
                <w:rFonts w:ascii="宋体" w:hAnsi="宋体" w:cs="宋体"/>
                <w:color w:val="000000"/>
                <w:kern w:val="0"/>
                <w:sz w:val="22"/>
              </w:rPr>
            </w:pPr>
          </w:p>
        </w:tc>
      </w:tr>
      <w:tr>
        <w:tblPrEx>
          <w:tblLayout w:type="fixed"/>
          <w:tblCellMar>
            <w:top w:w="0" w:type="dxa"/>
            <w:left w:w="108" w:type="dxa"/>
            <w:bottom w:w="0" w:type="dxa"/>
            <w:right w:w="108" w:type="dxa"/>
          </w:tblCellMar>
        </w:tblPrEx>
        <w:trPr>
          <w:trHeight w:val="2771" w:hRule="atLeast"/>
        </w:trPr>
        <w:tc>
          <w:tcPr>
            <w:tcW w:w="11580" w:type="dxa"/>
            <w:vMerge w:val="continue"/>
            <w:tcBorders>
              <w:top w:val="single" w:color="auto" w:sz="4" w:space="0"/>
              <w:left w:val="nil"/>
              <w:bottom w:val="nil"/>
              <w:right w:val="nil"/>
            </w:tcBorders>
            <w:vAlign w:val="center"/>
          </w:tcPr>
          <w:p>
            <w:pPr>
              <w:widowControl/>
              <w:spacing w:line="240" w:lineRule="auto"/>
              <w:ind w:firstLine="0" w:firstLineChars="0"/>
              <w:jc w:val="left"/>
              <w:rPr>
                <w:rFonts w:ascii="宋体" w:hAnsi="宋体" w:cs="宋体"/>
                <w:color w:val="000000"/>
                <w:kern w:val="0"/>
                <w:sz w:val="22"/>
              </w:rPr>
            </w:pPr>
          </w:p>
        </w:tc>
      </w:tr>
    </w:tbl>
    <w:p>
      <w:pPr>
        <w:ind w:left="-1558" w:leftChars="-742" w:firstLine="0" w:firstLineChars="0"/>
      </w:pPr>
    </w:p>
    <w:p>
      <w:pPr>
        <w:ind w:firstLine="420"/>
      </w:pPr>
    </w:p>
    <w:p/>
    <w:sectPr>
      <w:headerReference r:id="rId5" w:type="first"/>
      <w:footerReference r:id="rId8" w:type="first"/>
      <w:headerReference r:id="rId3" w:type="default"/>
      <w:footerReference r:id="rId6" w:type="default"/>
      <w:headerReference r:id="rId4" w:type="even"/>
      <w:footerReference r:id="rId7" w:type="even"/>
      <w:pgSz w:w="11906" w:h="16838"/>
      <w:pgMar w:top="851" w:right="1797" w:bottom="851"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华文楷体">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0" w:firstLineChars="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3BC319C"/>
    <w:multiLevelType w:val="singleLevel"/>
    <w:tmpl w:val="93BC319C"/>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BF66764"/>
    <w:rsid w:val="2935159D"/>
    <w:rsid w:val="7BF667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name="header"/>
    <w:lsdException w:qFormat="1" w:uiPriority="99"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200" w:firstLineChars="200"/>
      <w:jc w:val="both"/>
    </w:pPr>
    <w:rPr>
      <w:rFonts w:ascii="Calibri" w:hAnsi="Calibri" w:eastAsia="宋体" w:cs="Times New Roman"/>
      <w:kern w:val="2"/>
      <w:sz w:val="21"/>
      <w:szCs w:val="22"/>
      <w:lang w:val="en-US" w:eastAsia="zh-CN" w:bidi="ar-SA"/>
    </w:rPr>
  </w:style>
  <w:style w:type="character" w:default="1" w:styleId="8">
    <w:name w:val="Default Paragraph Font"/>
    <w:semiHidden/>
    <w:uiPriority w:val="0"/>
  </w:style>
  <w:style w:type="table" w:default="1" w:styleId="7">
    <w:name w:val="Normal Table"/>
    <w:semiHidden/>
    <w:uiPriority w:val="0"/>
    <w:tblPr>
      <w:tblLayout w:type="fixed"/>
      <w:tblCellMar>
        <w:top w:w="0" w:type="dxa"/>
        <w:left w:w="108" w:type="dxa"/>
        <w:bottom w:w="0" w:type="dxa"/>
        <w:right w:w="108" w:type="dxa"/>
      </w:tblCellMar>
    </w:tblPr>
  </w:style>
  <w:style w:type="paragraph" w:styleId="2">
    <w:name w:val="Body Text First Indent 2"/>
    <w:basedOn w:val="3"/>
    <w:qFormat/>
    <w:uiPriority w:val="0"/>
    <w:pPr>
      <w:spacing w:after="0"/>
      <w:ind w:left="0" w:leftChars="0" w:firstLine="420" w:firstLineChars="200"/>
    </w:pPr>
    <w:rPr>
      <w:rFonts w:ascii="宋体" w:hAnsi="宋体"/>
      <w:sz w:val="30"/>
    </w:rPr>
  </w:style>
  <w:style w:type="paragraph" w:styleId="3">
    <w:name w:val="Body Text Indent"/>
    <w:basedOn w:val="1"/>
    <w:semiHidden/>
    <w:unhideWhenUsed/>
    <w:qFormat/>
    <w:uiPriority w:val="99"/>
    <w:pPr>
      <w:spacing w:after="120"/>
      <w:ind w:left="420" w:leftChars="200"/>
    </w:pPr>
  </w:style>
  <w:style w:type="paragraph" w:styleId="4">
    <w:name w:val="Plain Text"/>
    <w:basedOn w:val="1"/>
    <w:qFormat/>
    <w:uiPriority w:val="0"/>
    <w:rPr>
      <w:rFonts w:ascii="宋体" w:hAnsi="Courier New" w:cs="Courier New"/>
      <w:szCs w:val="21"/>
    </w:rPr>
  </w:style>
  <w:style w:type="paragraph" w:styleId="5">
    <w:name w:val="footer"/>
    <w:basedOn w:val="1"/>
    <w:semiHidden/>
    <w:unhideWhenUsed/>
    <w:qFormat/>
    <w:uiPriority w:val="99"/>
    <w:pPr>
      <w:tabs>
        <w:tab w:val="center" w:pos="4153"/>
        <w:tab w:val="right" w:pos="8306"/>
      </w:tabs>
      <w:snapToGrid w:val="0"/>
      <w:spacing w:line="240" w:lineRule="auto"/>
      <w:jc w:val="left"/>
    </w:pPr>
    <w:rPr>
      <w:sz w:val="18"/>
      <w:szCs w:val="18"/>
    </w:rPr>
  </w:style>
  <w:style w:type="paragraph" w:styleId="6">
    <w:name w:val="header"/>
    <w:basedOn w:val="1"/>
    <w:semiHidden/>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昆明市西山区党政机关单位</Company>
  <Pages>1</Pages>
  <Words>0</Words>
  <Characters>0</Characters>
  <Lines>0</Lines>
  <Paragraphs>0</Paragraphs>
  <TotalTime>2</TotalTime>
  <ScaleCrop>false</ScaleCrop>
  <LinksUpToDate>false</LinksUpToDate>
  <CharactersWithSpaces>0</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2023-09-25T07:13:00Z</dcterms:created>
  <dc:creator>Administrator</dc:creator>
  <cp:lastModifiedBy>向日葵上的年糕</cp:lastModifiedBy>
  <dcterms:modified xsi:type="dcterms:W3CDTF">2023-09-25T08:34:35Z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