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hAnsi="方正小标宋简体" w:eastAsia="方正小标宋简体" w:cs="方正小标宋简体"/>
          <w:b/>
          <w:bCs/>
          <w:sz w:val="44"/>
          <w:szCs w:val="44"/>
        </w:rPr>
      </w:pPr>
      <w:bookmarkStart w:id="0" w:name="_GoBack"/>
      <w:r>
        <w:rPr>
          <w:rFonts w:hint="eastAsia" w:ascii="方正小标宋简体" w:hAnsi="方正小标宋简体" w:eastAsia="方正小标宋简体" w:cs="方正小标宋简体"/>
          <w:b/>
          <w:bCs/>
          <w:sz w:val="44"/>
          <w:szCs w:val="44"/>
        </w:rPr>
        <w:t>昆明市西山区人民医院</w:t>
      </w:r>
    </w:p>
    <w:p>
      <w:pPr>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2023年</w:t>
      </w:r>
      <w:r>
        <w:rPr>
          <w:rFonts w:hint="eastAsia" w:ascii="方正小标宋简体" w:hAnsi="方正小标宋简体" w:eastAsia="方正小标宋简体" w:cs="方正小标宋简体"/>
          <w:b/>
          <w:bCs/>
          <w:sz w:val="44"/>
          <w:szCs w:val="44"/>
          <w:lang w:val="en-US" w:eastAsia="zh-CN"/>
        </w:rPr>
        <w:t>扫描仪等</w:t>
      </w:r>
      <w:r>
        <w:rPr>
          <w:rFonts w:hint="eastAsia" w:ascii="方正小标宋简体" w:hAnsi="方正小标宋简体" w:eastAsia="方正小标宋简体" w:cs="方正小标宋简体"/>
          <w:b/>
          <w:bCs/>
          <w:sz w:val="44"/>
          <w:szCs w:val="44"/>
        </w:rPr>
        <w:t>项目询价函</w:t>
      </w:r>
    </w:p>
    <w:bookmarkEnd w:id="0"/>
    <w:p>
      <w:pPr>
        <w:ind w:firstLine="640" w:firstLineChars="200"/>
        <w:rPr>
          <w:rFonts w:ascii="仿宋_GB2312" w:hAnsi="仿宋_GB2312" w:eastAsia="仿宋_GB2312" w:cs="仿宋_GB2312"/>
          <w:sz w:val="32"/>
          <w:szCs w:val="32"/>
        </w:rPr>
      </w:pP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我院拟对2023年</w:t>
      </w:r>
      <w:r>
        <w:rPr>
          <w:rFonts w:hint="eastAsia" w:ascii="仿宋_GB2312" w:hAnsi="仿宋_GB2312" w:eastAsia="仿宋_GB2312" w:cs="仿宋_GB2312"/>
          <w:sz w:val="32"/>
          <w:szCs w:val="32"/>
          <w:lang w:val="en-US" w:eastAsia="zh-CN"/>
        </w:rPr>
        <w:t>扫描仪等</w:t>
      </w:r>
      <w:r>
        <w:rPr>
          <w:rFonts w:hint="eastAsia" w:ascii="仿宋_GB2312" w:hAnsi="仿宋_GB2312" w:eastAsia="仿宋_GB2312" w:cs="仿宋_GB2312"/>
          <w:sz w:val="32"/>
          <w:szCs w:val="32"/>
        </w:rPr>
        <w:t>项目进行邀请报价，诚邀符合条件并有意向的投标人参加报价。现将相关事项说明如下：</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★备注：本次询价只作为市场咨询，并非最终结果，且不作为招投标参考。</w:t>
      </w:r>
    </w:p>
    <w:p>
      <w:pPr>
        <w:ind w:firstLine="640" w:firstLineChars="200"/>
        <w:rPr>
          <w:rFonts w:ascii="黑体" w:hAnsi="黑体" w:eastAsia="黑体" w:cs="黑体"/>
          <w:sz w:val="32"/>
          <w:szCs w:val="32"/>
        </w:rPr>
      </w:pPr>
      <w:r>
        <w:rPr>
          <w:rFonts w:hint="eastAsia" w:ascii="黑体" w:hAnsi="黑体" w:eastAsia="黑体" w:cs="黑体"/>
          <w:sz w:val="32"/>
          <w:szCs w:val="32"/>
        </w:rPr>
        <w:t>一、项目基本情况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（一）项目名称：2023年</w:t>
      </w:r>
      <w:r>
        <w:rPr>
          <w:rFonts w:hint="eastAsia" w:ascii="仿宋_GB2312" w:hAnsi="仿宋_GB2312" w:eastAsia="仿宋_GB2312" w:cs="仿宋_GB2312"/>
          <w:sz w:val="32"/>
          <w:szCs w:val="32"/>
          <w:lang w:val="en-US" w:eastAsia="zh-CN"/>
        </w:rPr>
        <w:t>扫描仪等</w:t>
      </w:r>
      <w:r>
        <w:rPr>
          <w:rFonts w:hint="eastAsia" w:ascii="仿宋_GB2312" w:hAnsi="仿宋_GB2312" w:eastAsia="仿宋_GB2312" w:cs="仿宋_GB2312"/>
          <w:sz w:val="32"/>
          <w:szCs w:val="32"/>
        </w:rPr>
        <w:t>项目；</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val="en-US" w:eastAsia="zh-CN"/>
        </w:rPr>
        <w:t>设备</w:t>
      </w:r>
      <w:r>
        <w:rPr>
          <w:rFonts w:hint="eastAsia" w:ascii="仿宋_GB2312" w:hAnsi="仿宋_GB2312" w:eastAsia="仿宋_GB2312" w:cs="仿宋_GB2312"/>
          <w:sz w:val="32"/>
          <w:szCs w:val="32"/>
        </w:rPr>
        <w:t>需求</w:t>
      </w:r>
    </w:p>
    <w:p>
      <w:pPr>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1.供应商保证提供西山区人民医院相关设备符合国家主管部门规定的质量标准和技术要求。</w:t>
      </w:r>
    </w:p>
    <w:p>
      <w:pPr>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2.严格按照国家产品质量三包政策执行，执行标准严格按照《中华人民共和国产品质量法》。 </w:t>
      </w:r>
    </w:p>
    <w:p>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3.供应商的响应文件应满足咨询文件要求，技术参数应不低于咨询文件要求，实质响应条款技术参数必须与咨询文件技术要求一致（或高于咨询文件要求）</w:t>
      </w:r>
    </w:p>
    <w:p>
      <w:pPr>
        <w:ind w:firstLine="640" w:firstLineChars="200"/>
        <w:rPr>
          <w:rFonts w:hint="eastAsia" w:ascii="黑体" w:hAnsi="黑体" w:eastAsia="黑体" w:cs="黑体"/>
          <w:sz w:val="32"/>
          <w:szCs w:val="32"/>
        </w:rPr>
      </w:pPr>
      <w:r>
        <w:rPr>
          <w:rFonts w:hint="eastAsia" w:ascii="黑体" w:hAnsi="黑体" w:eastAsia="黑体" w:cs="黑体"/>
          <w:sz w:val="32"/>
          <w:szCs w:val="32"/>
        </w:rPr>
        <w:t>二、详细参数</w:t>
      </w:r>
    </w:p>
    <w:tbl>
      <w:tblPr>
        <w:tblStyle w:val="2"/>
        <w:tblW w:w="9160" w:type="dxa"/>
        <w:tblInd w:w="91" w:type="dxa"/>
        <w:tblLayout w:type="fixed"/>
        <w:tblCellMar>
          <w:top w:w="0" w:type="dxa"/>
          <w:left w:w="108" w:type="dxa"/>
          <w:bottom w:w="0" w:type="dxa"/>
          <w:right w:w="108" w:type="dxa"/>
        </w:tblCellMar>
      </w:tblPr>
      <w:tblGrid>
        <w:gridCol w:w="673"/>
        <w:gridCol w:w="1207"/>
        <w:gridCol w:w="3580"/>
        <w:gridCol w:w="620"/>
        <w:gridCol w:w="940"/>
        <w:gridCol w:w="700"/>
        <w:gridCol w:w="1440"/>
      </w:tblGrid>
      <w:tr>
        <w:tblPrEx>
          <w:tblLayout w:type="fixed"/>
          <w:tblCellMar>
            <w:top w:w="0" w:type="dxa"/>
            <w:left w:w="108" w:type="dxa"/>
            <w:bottom w:w="0" w:type="dxa"/>
            <w:right w:w="108" w:type="dxa"/>
          </w:tblCellMar>
        </w:tblPrEx>
        <w:trPr>
          <w:trHeight w:val="1507" w:hRule="atLeast"/>
        </w:trPr>
        <w:tc>
          <w:tcPr>
            <w:tcW w:w="6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jc w:val="both"/>
              <w:rPr>
                <w:rFonts w:hint="eastAsia" w:ascii="宋体" w:hAnsi="宋体" w:cs="宋体" w:eastAsiaTheme="minorEastAsia"/>
                <w:b/>
                <w:bCs/>
                <w:color w:val="000000"/>
                <w:kern w:val="0"/>
                <w:sz w:val="22"/>
                <w:lang w:eastAsia="zh-CN"/>
              </w:rPr>
            </w:pPr>
            <w:r>
              <w:rPr>
                <w:rFonts w:hint="eastAsia" w:ascii="宋体" w:hAnsi="宋体" w:cs="宋体"/>
                <w:b/>
                <w:bCs/>
                <w:color w:val="000000"/>
                <w:kern w:val="0"/>
                <w:sz w:val="22"/>
                <w:lang w:val="en-US" w:eastAsia="zh-CN"/>
              </w:rPr>
              <w:t>序号</w:t>
            </w:r>
          </w:p>
        </w:tc>
        <w:tc>
          <w:tcPr>
            <w:tcW w:w="1207" w:type="dxa"/>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宋体" w:hAnsi="宋体" w:cs="宋体"/>
                <w:b/>
                <w:bCs/>
                <w:color w:val="000000"/>
                <w:kern w:val="0"/>
                <w:sz w:val="24"/>
                <w:szCs w:val="24"/>
              </w:rPr>
            </w:pPr>
            <w:r>
              <w:rPr>
                <w:rFonts w:hint="eastAsia" w:ascii="宋体" w:hAnsi="宋体" w:cs="宋体"/>
                <w:b/>
                <w:bCs/>
                <w:color w:val="000000"/>
                <w:kern w:val="0"/>
                <w:sz w:val="24"/>
                <w:szCs w:val="24"/>
              </w:rPr>
              <w:t>产品名称</w:t>
            </w:r>
          </w:p>
        </w:tc>
        <w:tc>
          <w:tcPr>
            <w:tcW w:w="35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宋体" w:hAnsi="宋体" w:cs="宋体"/>
                <w:b/>
                <w:bCs/>
                <w:color w:val="000000"/>
                <w:kern w:val="0"/>
                <w:sz w:val="24"/>
                <w:szCs w:val="24"/>
              </w:rPr>
            </w:pPr>
            <w:r>
              <w:rPr>
                <w:rFonts w:hint="eastAsia" w:ascii="宋体" w:hAnsi="宋体" w:cs="宋体"/>
                <w:b/>
                <w:bCs/>
                <w:color w:val="000000"/>
                <w:kern w:val="0"/>
                <w:sz w:val="24"/>
                <w:szCs w:val="24"/>
              </w:rPr>
              <w:t>产品型号及技术规格</w:t>
            </w:r>
          </w:p>
        </w:tc>
        <w:tc>
          <w:tcPr>
            <w:tcW w:w="6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宋体" w:hAnsi="宋体" w:cs="宋体"/>
                <w:b/>
                <w:bCs/>
                <w:color w:val="000000"/>
                <w:kern w:val="0"/>
                <w:sz w:val="24"/>
                <w:szCs w:val="24"/>
              </w:rPr>
            </w:pPr>
            <w:r>
              <w:rPr>
                <w:rFonts w:hint="eastAsia" w:ascii="宋体" w:hAnsi="宋体" w:cs="宋体"/>
                <w:b/>
                <w:bCs/>
                <w:color w:val="000000"/>
                <w:kern w:val="0"/>
                <w:sz w:val="24"/>
                <w:szCs w:val="24"/>
              </w:rPr>
              <w:t>单位</w:t>
            </w:r>
          </w:p>
        </w:tc>
        <w:tc>
          <w:tcPr>
            <w:tcW w:w="9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宋体" w:hAnsi="宋体" w:cs="宋体" w:eastAsiaTheme="minorEastAsia"/>
                <w:b/>
                <w:bCs/>
                <w:color w:val="000000"/>
                <w:kern w:val="0"/>
                <w:sz w:val="24"/>
                <w:szCs w:val="24"/>
                <w:lang w:eastAsia="zh-CN"/>
              </w:rPr>
            </w:pPr>
            <w:r>
              <w:rPr>
                <w:rFonts w:hint="eastAsia" w:ascii="宋体" w:hAnsi="宋体" w:cs="宋体"/>
                <w:b/>
                <w:bCs/>
                <w:color w:val="000000"/>
                <w:kern w:val="0"/>
                <w:sz w:val="24"/>
                <w:szCs w:val="24"/>
                <w:lang w:val="en-US" w:eastAsia="zh-CN"/>
              </w:rPr>
              <w:t>数量</w:t>
            </w:r>
          </w:p>
        </w:tc>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宋体" w:hAnsi="宋体" w:cs="宋体" w:eastAsiaTheme="minorEastAsia"/>
                <w:b/>
                <w:bCs/>
                <w:color w:val="000000"/>
                <w:kern w:val="0"/>
                <w:sz w:val="24"/>
                <w:szCs w:val="24"/>
                <w:lang w:eastAsia="zh-CN"/>
              </w:rPr>
            </w:pPr>
            <w:r>
              <w:rPr>
                <w:rFonts w:hint="eastAsia" w:ascii="宋体" w:hAnsi="宋体" w:cs="宋体"/>
                <w:b/>
                <w:bCs/>
                <w:color w:val="000000"/>
                <w:kern w:val="0"/>
                <w:sz w:val="24"/>
                <w:szCs w:val="24"/>
                <w:lang w:val="en-US" w:eastAsia="zh-CN"/>
              </w:rPr>
              <w:t>单价</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cs="宋体"/>
                <w:b/>
                <w:bCs/>
                <w:color w:val="000000"/>
                <w:kern w:val="0"/>
                <w:sz w:val="24"/>
                <w:szCs w:val="24"/>
              </w:rPr>
            </w:pPr>
            <w:r>
              <w:rPr>
                <w:rFonts w:hint="eastAsia" w:ascii="宋体" w:hAnsi="宋体" w:cs="宋体"/>
                <w:b/>
                <w:bCs/>
                <w:color w:val="000000"/>
                <w:kern w:val="0"/>
                <w:sz w:val="24"/>
                <w:szCs w:val="24"/>
              </w:rPr>
              <w:t>合计（元）</w:t>
            </w:r>
          </w:p>
        </w:tc>
      </w:tr>
    </w:tbl>
    <w:p>
      <w:pPr>
        <w:ind w:firstLine="640" w:firstLineChars="200"/>
        <w:rPr>
          <w:rFonts w:hint="eastAsia" w:ascii="黑体" w:hAnsi="黑体" w:eastAsia="黑体" w:cs="黑体"/>
          <w:sz w:val="32"/>
          <w:szCs w:val="32"/>
        </w:rPr>
      </w:pPr>
    </w:p>
    <w:tbl>
      <w:tblPr>
        <w:tblStyle w:val="2"/>
        <w:tblW w:w="9160"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0"/>
        <w:gridCol w:w="1360"/>
        <w:gridCol w:w="3580"/>
        <w:gridCol w:w="620"/>
        <w:gridCol w:w="940"/>
        <w:gridCol w:w="700"/>
        <w:gridCol w:w="1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0" w:hRule="atLeast"/>
        </w:trPr>
        <w:tc>
          <w:tcPr>
            <w:tcW w:w="520" w:type="dxa"/>
            <w:tcBorders>
              <w:tl2br w:val="nil"/>
              <w:tr2bl w:val="nil"/>
            </w:tcBorders>
            <w:shd w:val="clear" w:color="auto" w:fill="auto"/>
            <w:noWrap/>
            <w:vAlign w:val="center"/>
          </w:tcPr>
          <w:p>
            <w:pPr>
              <w:widowControl/>
              <w:spacing w:line="240" w:lineRule="auto"/>
              <w:ind w:firstLine="0" w:firstLineChars="0"/>
              <w:jc w:val="center"/>
              <w:rPr>
                <w:rFonts w:ascii="宋体" w:hAnsi="宋体" w:cs="宋体"/>
                <w:color w:val="000000"/>
                <w:kern w:val="0"/>
                <w:sz w:val="22"/>
              </w:rPr>
            </w:pPr>
            <w:r>
              <w:rPr>
                <w:rFonts w:hint="eastAsia" w:ascii="宋体" w:hAnsi="宋体" w:cs="宋体"/>
                <w:color w:val="000000"/>
                <w:kern w:val="0"/>
                <w:sz w:val="22"/>
              </w:rPr>
              <w:t>1</w:t>
            </w:r>
          </w:p>
        </w:tc>
        <w:tc>
          <w:tcPr>
            <w:tcW w:w="1360" w:type="dxa"/>
            <w:tcBorders>
              <w:tl2br w:val="nil"/>
              <w:tr2bl w:val="nil"/>
            </w:tcBorders>
            <w:shd w:val="clear" w:color="auto" w:fill="auto"/>
            <w:noWrap/>
            <w:vAlign w:val="center"/>
          </w:tcPr>
          <w:p>
            <w:pPr>
              <w:widowControl/>
              <w:spacing w:line="240" w:lineRule="auto"/>
              <w:ind w:firstLine="0" w:firstLineChars="0"/>
              <w:jc w:val="left"/>
              <w:rPr>
                <w:rFonts w:ascii="宋体" w:hAnsi="宋体" w:cs="宋体"/>
                <w:color w:val="000000"/>
                <w:kern w:val="0"/>
                <w:szCs w:val="21"/>
              </w:rPr>
            </w:pPr>
            <w:r>
              <w:rPr>
                <w:rFonts w:hint="eastAsia" w:ascii="宋体" w:hAnsi="宋体" w:cs="宋体"/>
                <w:color w:val="000000"/>
                <w:kern w:val="0"/>
                <w:szCs w:val="21"/>
              </w:rPr>
              <w:t>A4高速扫描仪</w:t>
            </w:r>
          </w:p>
        </w:tc>
        <w:tc>
          <w:tcPr>
            <w:tcW w:w="3580" w:type="dxa"/>
            <w:tcBorders>
              <w:tl2br w:val="nil"/>
              <w:tr2bl w:val="nil"/>
            </w:tcBorders>
            <w:shd w:val="clear" w:color="auto" w:fill="auto"/>
          </w:tcPr>
          <w:p>
            <w:pPr>
              <w:widowControl/>
              <w:spacing w:line="240" w:lineRule="auto"/>
              <w:ind w:firstLine="0" w:firstLineChars="0"/>
              <w:jc w:val="left"/>
              <w:rPr>
                <w:rFonts w:ascii="宋体" w:hAnsi="宋体" w:cs="宋体"/>
                <w:color w:val="000000"/>
                <w:kern w:val="0"/>
                <w:sz w:val="18"/>
                <w:szCs w:val="18"/>
              </w:rPr>
            </w:pPr>
            <w:r>
              <w:rPr>
                <w:rFonts w:hint="eastAsia" w:ascii="宋体" w:hAnsi="宋体" w:cs="宋体"/>
                <w:color w:val="000000"/>
                <w:kern w:val="0"/>
                <w:sz w:val="18"/>
                <w:szCs w:val="18"/>
              </w:rPr>
              <w:t>产品用途：商业应用\产品类型：平板式+馈纸式\最大幅面：A4\扫描元件：4线彩色线性CCD\扫描速度：平板：8秒、A4300d....</w:t>
            </w:r>
            <w:r>
              <w:rPr>
                <w:rFonts w:hint="eastAsia" w:ascii="宋体" w:hAnsi="宋体" w:cs="宋体"/>
                <w:color w:val="000000"/>
                <w:kern w:val="0"/>
                <w:sz w:val="18"/>
                <w:szCs w:val="18"/>
              </w:rPr>
              <w:br w:type="textWrapping"/>
            </w:r>
            <w:r>
              <w:rPr>
                <w:rFonts w:hint="eastAsia" w:ascii="宋体" w:hAnsi="宋体" w:cs="宋体"/>
                <w:color w:val="000000"/>
                <w:kern w:val="0"/>
                <w:sz w:val="18"/>
                <w:szCs w:val="18"/>
              </w:rPr>
              <w:t>光学分辨率：1200dpi接口类型：USB2.0扫描元件：CIS、扫描速度：40页80面，100页ADF输稿器容量，日扫描量4000页、产品尺寸：296×169×167mm、产品重量：3.7kg、无线高速自动双面（触屏 支持扫至U盘）</w:t>
            </w:r>
          </w:p>
        </w:tc>
        <w:tc>
          <w:tcPr>
            <w:tcW w:w="620" w:type="dxa"/>
            <w:tcBorders>
              <w:tl2br w:val="nil"/>
              <w:tr2bl w:val="nil"/>
            </w:tcBorders>
            <w:shd w:val="clear" w:color="auto" w:fill="auto"/>
            <w:noWrap/>
            <w:vAlign w:val="center"/>
          </w:tcPr>
          <w:p>
            <w:pPr>
              <w:widowControl/>
              <w:spacing w:line="240" w:lineRule="auto"/>
              <w:ind w:firstLine="0" w:firstLineChars="0"/>
              <w:jc w:val="center"/>
              <w:rPr>
                <w:rFonts w:ascii="宋体" w:hAnsi="宋体" w:cs="宋体"/>
                <w:color w:val="000000"/>
                <w:kern w:val="0"/>
                <w:sz w:val="24"/>
                <w:szCs w:val="24"/>
              </w:rPr>
            </w:pPr>
            <w:r>
              <w:rPr>
                <w:rFonts w:hint="eastAsia" w:ascii="宋体" w:hAnsi="宋体" w:cs="宋体"/>
                <w:color w:val="000000"/>
                <w:kern w:val="0"/>
                <w:sz w:val="24"/>
                <w:szCs w:val="24"/>
              </w:rPr>
              <w:t>台</w:t>
            </w:r>
          </w:p>
        </w:tc>
        <w:tc>
          <w:tcPr>
            <w:tcW w:w="940" w:type="dxa"/>
            <w:tcBorders>
              <w:tl2br w:val="nil"/>
              <w:tr2bl w:val="nil"/>
            </w:tcBorders>
            <w:shd w:val="clear" w:color="auto" w:fill="auto"/>
            <w:noWrap/>
            <w:vAlign w:val="center"/>
          </w:tcPr>
          <w:p>
            <w:pPr>
              <w:widowControl/>
              <w:spacing w:line="240" w:lineRule="auto"/>
              <w:ind w:firstLine="0" w:firstLineChars="0"/>
              <w:jc w:val="center"/>
              <w:rPr>
                <w:rFonts w:hint="eastAsia" w:ascii="宋体" w:hAnsi="宋体" w:cs="宋体" w:eastAsiaTheme="minorEastAsia"/>
                <w:color w:val="000000"/>
                <w:kern w:val="0"/>
                <w:sz w:val="22"/>
                <w:lang w:val="en-US" w:eastAsia="zh-CN"/>
              </w:rPr>
            </w:pPr>
            <w:r>
              <w:rPr>
                <w:rFonts w:hint="eastAsia" w:ascii="宋体" w:hAnsi="宋体" w:cs="宋体"/>
                <w:color w:val="000000"/>
                <w:kern w:val="0"/>
                <w:sz w:val="22"/>
                <w:lang w:val="en-US" w:eastAsia="zh-CN"/>
              </w:rPr>
              <w:t>1</w:t>
            </w:r>
          </w:p>
        </w:tc>
        <w:tc>
          <w:tcPr>
            <w:tcW w:w="700" w:type="dxa"/>
            <w:tcBorders>
              <w:tl2br w:val="nil"/>
              <w:tr2bl w:val="nil"/>
            </w:tcBorders>
            <w:shd w:val="clear" w:color="auto" w:fill="auto"/>
            <w:noWrap/>
            <w:vAlign w:val="center"/>
          </w:tcPr>
          <w:p>
            <w:pPr>
              <w:widowControl/>
              <w:spacing w:line="240" w:lineRule="auto"/>
              <w:ind w:firstLine="0" w:firstLineChars="0"/>
              <w:jc w:val="center"/>
              <w:rPr>
                <w:rFonts w:hint="eastAsia" w:ascii="宋体" w:hAnsi="宋体" w:cs="宋体" w:eastAsiaTheme="minorEastAsia"/>
                <w:color w:val="000000"/>
                <w:kern w:val="0"/>
                <w:sz w:val="22"/>
                <w:lang w:eastAsia="zh-CN"/>
              </w:rPr>
            </w:pPr>
          </w:p>
        </w:tc>
        <w:tc>
          <w:tcPr>
            <w:tcW w:w="1440" w:type="dxa"/>
            <w:tcBorders>
              <w:tl2br w:val="nil"/>
              <w:tr2bl w:val="nil"/>
            </w:tcBorders>
            <w:shd w:val="clear" w:color="auto" w:fill="auto"/>
            <w:noWrap/>
            <w:vAlign w:val="center"/>
          </w:tcPr>
          <w:p>
            <w:pPr>
              <w:widowControl/>
              <w:spacing w:line="240" w:lineRule="auto"/>
              <w:ind w:firstLine="0" w:firstLineChars="0"/>
              <w:jc w:val="center"/>
              <w:rPr>
                <w:rFonts w:ascii="宋体" w:hAnsi="宋体" w:cs="宋体"/>
                <w:color w:val="000000"/>
                <w:kern w:val="0"/>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95" w:hRule="atLeast"/>
        </w:trPr>
        <w:tc>
          <w:tcPr>
            <w:tcW w:w="520" w:type="dxa"/>
            <w:tcBorders>
              <w:tl2br w:val="nil"/>
              <w:tr2bl w:val="nil"/>
            </w:tcBorders>
            <w:shd w:val="clear" w:color="auto" w:fill="auto"/>
            <w:noWrap/>
            <w:vAlign w:val="center"/>
          </w:tcPr>
          <w:p>
            <w:pPr>
              <w:widowControl/>
              <w:spacing w:line="240" w:lineRule="auto"/>
              <w:ind w:firstLine="0" w:firstLineChars="0"/>
              <w:jc w:val="center"/>
              <w:rPr>
                <w:rFonts w:ascii="宋体" w:hAnsi="宋体" w:cs="宋体"/>
                <w:color w:val="000000"/>
                <w:kern w:val="0"/>
                <w:sz w:val="22"/>
              </w:rPr>
            </w:pPr>
            <w:r>
              <w:rPr>
                <w:rFonts w:hint="eastAsia" w:ascii="宋体" w:hAnsi="宋体" w:cs="宋体"/>
                <w:color w:val="000000"/>
                <w:kern w:val="0"/>
                <w:sz w:val="22"/>
              </w:rPr>
              <w:t>2</w:t>
            </w:r>
          </w:p>
        </w:tc>
        <w:tc>
          <w:tcPr>
            <w:tcW w:w="1360" w:type="dxa"/>
            <w:tcBorders>
              <w:tl2br w:val="nil"/>
              <w:tr2bl w:val="nil"/>
            </w:tcBorders>
            <w:shd w:val="clear" w:color="auto" w:fill="auto"/>
            <w:noWrap/>
            <w:vAlign w:val="center"/>
          </w:tcPr>
          <w:p>
            <w:pPr>
              <w:widowControl/>
              <w:spacing w:line="240" w:lineRule="auto"/>
              <w:ind w:firstLine="0" w:firstLineChars="0"/>
              <w:jc w:val="left"/>
              <w:rPr>
                <w:rFonts w:hint="eastAsia" w:ascii="宋体" w:hAnsi="宋体" w:cs="宋体" w:eastAsiaTheme="minorEastAsia"/>
                <w:color w:val="000000"/>
                <w:kern w:val="0"/>
                <w:szCs w:val="21"/>
                <w:lang w:eastAsia="zh-CN"/>
              </w:rPr>
            </w:pPr>
            <w:r>
              <w:rPr>
                <w:rFonts w:hint="eastAsia" w:ascii="宋体" w:hAnsi="宋体" w:cs="宋体"/>
                <w:color w:val="000000"/>
                <w:kern w:val="0"/>
                <w:szCs w:val="21"/>
                <w:lang w:val="en-US" w:eastAsia="zh-CN"/>
              </w:rPr>
              <w:t>扫码墩</w:t>
            </w:r>
          </w:p>
        </w:tc>
        <w:tc>
          <w:tcPr>
            <w:tcW w:w="3580" w:type="dxa"/>
            <w:tcBorders>
              <w:tl2br w:val="nil"/>
              <w:tr2bl w:val="nil"/>
            </w:tcBorders>
            <w:shd w:val="clear" w:color="auto" w:fill="auto"/>
          </w:tcPr>
          <w:p>
            <w:pPr>
              <w:widowControl/>
              <w:spacing w:line="240" w:lineRule="auto"/>
              <w:ind w:firstLine="0" w:firstLineChars="0"/>
              <w:jc w:val="left"/>
              <w:rPr>
                <w:rFonts w:ascii="宋体" w:hAnsi="宋体" w:cs="宋体"/>
                <w:color w:val="000000"/>
                <w:kern w:val="0"/>
                <w:sz w:val="18"/>
                <w:szCs w:val="18"/>
              </w:rPr>
            </w:pPr>
            <w:r>
              <w:rPr>
                <w:rFonts w:ascii="微软雅黑" w:hAnsi="微软雅黑" w:eastAsia="微软雅黑" w:cs="微软雅黑"/>
                <w:i w:val="0"/>
                <w:caps w:val="0"/>
                <w:color w:val="666666"/>
                <w:spacing w:val="0"/>
                <w:sz w:val="18"/>
                <w:szCs w:val="18"/>
                <w:shd w:val="clear" w:fill="FFFFFF"/>
              </w:rPr>
              <w:t>传感器：CMOS Sensor；符合国际、国内通用二维码标准: QR Code, Data Matrix, PDF417 等符合国际、国内通用一维码标准: Code 128，UPC，EAN, ISBN, GS1 128, Code 39, Code93, Interleaved 2 of 5,Industrial 2 of 5,Matrix 25, Standard 25, Codabar, MSI/MSI PLESSEY, GS1 DataBar 等；识别精度：二维≥7.5mil 一维≥5mil；识读方式：靠近、接近识读，0-45cm (根据不同条码)； 视场：对角72°，水平60°，垂直 48°印刷对比度：≥25% 反射差</w:t>
            </w:r>
          </w:p>
        </w:tc>
        <w:tc>
          <w:tcPr>
            <w:tcW w:w="620" w:type="dxa"/>
            <w:tcBorders>
              <w:tl2br w:val="nil"/>
              <w:tr2bl w:val="nil"/>
            </w:tcBorders>
            <w:shd w:val="clear" w:color="auto" w:fill="auto"/>
            <w:noWrap/>
            <w:vAlign w:val="center"/>
          </w:tcPr>
          <w:p>
            <w:pPr>
              <w:widowControl/>
              <w:spacing w:line="240" w:lineRule="auto"/>
              <w:ind w:firstLine="0" w:firstLineChars="0"/>
              <w:jc w:val="center"/>
              <w:rPr>
                <w:rFonts w:ascii="宋体" w:hAnsi="宋体" w:cs="宋体"/>
                <w:color w:val="000000"/>
                <w:kern w:val="0"/>
                <w:sz w:val="24"/>
                <w:szCs w:val="24"/>
              </w:rPr>
            </w:pPr>
            <w:r>
              <w:rPr>
                <w:rFonts w:hint="eastAsia" w:ascii="宋体" w:hAnsi="宋体" w:cs="宋体"/>
                <w:color w:val="000000"/>
                <w:kern w:val="0"/>
                <w:sz w:val="24"/>
                <w:szCs w:val="24"/>
              </w:rPr>
              <w:t>台</w:t>
            </w:r>
          </w:p>
        </w:tc>
        <w:tc>
          <w:tcPr>
            <w:tcW w:w="940" w:type="dxa"/>
            <w:tcBorders>
              <w:tl2br w:val="nil"/>
              <w:tr2bl w:val="nil"/>
            </w:tcBorders>
            <w:shd w:val="clear" w:color="auto" w:fill="auto"/>
            <w:noWrap/>
            <w:vAlign w:val="center"/>
          </w:tcPr>
          <w:p>
            <w:pPr>
              <w:widowControl/>
              <w:spacing w:line="240" w:lineRule="auto"/>
              <w:ind w:firstLine="0" w:firstLineChars="0"/>
              <w:jc w:val="center"/>
              <w:rPr>
                <w:rFonts w:ascii="宋体" w:hAnsi="宋体" w:cs="宋体"/>
                <w:color w:val="000000"/>
                <w:kern w:val="0"/>
                <w:sz w:val="22"/>
              </w:rPr>
            </w:pPr>
            <w:r>
              <w:rPr>
                <w:rFonts w:hint="eastAsia" w:ascii="宋体" w:hAnsi="宋体" w:cs="宋体"/>
                <w:color w:val="000000"/>
                <w:kern w:val="0"/>
                <w:sz w:val="22"/>
                <w:lang w:val="en-US" w:eastAsia="zh-CN"/>
              </w:rPr>
              <w:t>4</w:t>
            </w:r>
            <w:r>
              <w:rPr>
                <w:rFonts w:hint="eastAsia" w:ascii="宋体" w:hAnsi="宋体" w:cs="宋体"/>
                <w:color w:val="000000"/>
                <w:kern w:val="0"/>
                <w:sz w:val="22"/>
              </w:rPr>
              <w:t xml:space="preserve"> </w:t>
            </w:r>
          </w:p>
        </w:tc>
        <w:tc>
          <w:tcPr>
            <w:tcW w:w="700" w:type="dxa"/>
            <w:tcBorders>
              <w:tl2br w:val="nil"/>
              <w:tr2bl w:val="nil"/>
            </w:tcBorders>
            <w:shd w:val="clear" w:color="auto" w:fill="auto"/>
            <w:noWrap/>
            <w:vAlign w:val="center"/>
          </w:tcPr>
          <w:p>
            <w:pPr>
              <w:widowControl/>
              <w:spacing w:line="240" w:lineRule="auto"/>
              <w:ind w:firstLine="0" w:firstLineChars="0"/>
              <w:jc w:val="center"/>
              <w:rPr>
                <w:rFonts w:ascii="宋体" w:hAnsi="宋体" w:cs="宋体"/>
                <w:color w:val="000000"/>
                <w:kern w:val="0"/>
                <w:sz w:val="22"/>
              </w:rPr>
            </w:pPr>
          </w:p>
        </w:tc>
        <w:tc>
          <w:tcPr>
            <w:tcW w:w="1440" w:type="dxa"/>
            <w:tcBorders>
              <w:tl2br w:val="nil"/>
              <w:tr2bl w:val="nil"/>
            </w:tcBorders>
            <w:shd w:val="clear" w:color="auto" w:fill="auto"/>
            <w:noWrap/>
            <w:vAlign w:val="center"/>
          </w:tcPr>
          <w:p>
            <w:pPr>
              <w:widowControl/>
              <w:spacing w:line="240" w:lineRule="auto"/>
              <w:ind w:firstLine="0" w:firstLineChars="0"/>
              <w:jc w:val="center"/>
              <w:rPr>
                <w:rFonts w:ascii="宋体" w:hAnsi="宋体" w:cs="宋体"/>
                <w:color w:val="000000"/>
                <w:kern w:val="0"/>
                <w:sz w:val="22"/>
              </w:rPr>
            </w:pPr>
            <w:r>
              <w:rPr>
                <w:rFonts w:hint="eastAsia" w:ascii="宋体" w:hAnsi="宋体" w:cs="宋体"/>
                <w:color w:val="000000"/>
                <w:kern w:val="0"/>
                <w:sz w:val="22"/>
              </w:rPr>
              <w:t xml:space="preserve"> </w:t>
            </w:r>
          </w:p>
        </w:tc>
      </w:tr>
    </w:tbl>
    <w:p>
      <w:pPr>
        <w:rPr>
          <w:rFonts w:ascii="黑体" w:hAnsi="黑体" w:eastAsia="黑体" w:cs="黑体"/>
          <w:sz w:val="32"/>
          <w:szCs w:val="32"/>
        </w:rPr>
      </w:pPr>
    </w:p>
    <w:p>
      <w:pPr>
        <w:ind w:firstLine="640" w:firstLineChars="200"/>
        <w:rPr>
          <w:rFonts w:ascii="黑体" w:hAnsi="黑体" w:eastAsia="黑体" w:cs="黑体"/>
          <w:sz w:val="32"/>
          <w:szCs w:val="32"/>
        </w:rPr>
      </w:pPr>
      <w:r>
        <w:rPr>
          <w:rFonts w:hint="eastAsia" w:ascii="黑体" w:hAnsi="黑体" w:eastAsia="黑体" w:cs="黑体"/>
          <w:sz w:val="32"/>
          <w:szCs w:val="32"/>
        </w:rPr>
        <w:t>三、询价函发布时间</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2023年</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0日。</w:t>
      </w:r>
    </w:p>
    <w:p>
      <w:pPr>
        <w:ind w:firstLine="640" w:firstLineChars="200"/>
        <w:rPr>
          <w:rFonts w:ascii="黑体" w:hAnsi="黑体" w:eastAsia="黑体" w:cs="黑体"/>
          <w:sz w:val="32"/>
          <w:szCs w:val="32"/>
        </w:rPr>
      </w:pPr>
      <w:r>
        <w:rPr>
          <w:rFonts w:hint="eastAsia" w:ascii="黑体" w:hAnsi="黑体" w:eastAsia="黑体" w:cs="黑体"/>
          <w:sz w:val="32"/>
          <w:szCs w:val="32"/>
        </w:rPr>
        <w:t>四、报价函投递要求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（一）收取地点</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w:t>
      </w:r>
      <w:r>
        <w:rPr>
          <w:rFonts w:hint="eastAsia" w:ascii="仿宋_GB2312" w:hAnsi="仿宋_GB2312" w:eastAsia="仿宋_GB2312" w:cs="仿宋_GB2312"/>
          <w:sz w:val="32"/>
          <w:szCs w:val="32"/>
          <w:lang w:val="en-US" w:eastAsia="zh-CN"/>
        </w:rPr>
        <w:t>门诊</w:t>
      </w:r>
      <w:r>
        <w:rPr>
          <w:rFonts w:hint="eastAsia" w:ascii="仿宋_GB2312" w:hAnsi="仿宋_GB2312" w:eastAsia="仿宋_GB2312" w:cs="仿宋_GB2312"/>
          <w:sz w:val="32"/>
          <w:szCs w:val="32"/>
        </w:rPr>
        <w:t>4楼信息科</w:t>
      </w:r>
      <w:r>
        <w:rPr>
          <w:rFonts w:hint="eastAsia" w:ascii="仿宋_GB2312" w:hAnsi="仿宋_GB2312" w:eastAsia="仿宋_GB2312" w:cs="仿宋_GB2312"/>
          <w:sz w:val="32"/>
          <w:szCs w:val="32"/>
          <w:lang w:val="en-US" w:eastAsia="zh-CN"/>
        </w:rPr>
        <w:t>4028室</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（二）截止时间</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2023年</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日16:00（北京时间），上午8:30-11:30，下午13:30-17:00，逾期收到或不符合规定的文件将被拒绝。</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（三）咨询电话</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0871－68182721</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（四）联系人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陈老师</w:t>
      </w:r>
    </w:p>
    <w:p>
      <w:pPr>
        <w:ind w:firstLine="640" w:firstLineChars="200"/>
        <w:rPr>
          <w:rFonts w:ascii="黑体" w:hAnsi="黑体" w:eastAsia="黑体" w:cs="黑体"/>
          <w:sz w:val="32"/>
          <w:szCs w:val="32"/>
        </w:rPr>
      </w:pPr>
      <w:r>
        <w:rPr>
          <w:rFonts w:hint="eastAsia" w:ascii="黑体" w:hAnsi="黑体" w:eastAsia="黑体" w:cs="黑体"/>
          <w:sz w:val="32"/>
          <w:szCs w:val="32"/>
        </w:rPr>
        <w:t>五、报价函材料要求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（一）营业执照、税务登记证、事业单位法人证书及开户行信息复印件并加盖单位鲜章；</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（二）公司法定代表人证明书及报名人授权委托书原件；</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（三）公司法定代表人及报名人身份证复印件；</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（四）报价表（详见附件）；</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（六）联系人及联系电话。</w:t>
      </w:r>
    </w:p>
    <w:p>
      <w:pPr>
        <w:ind w:firstLine="640" w:firstLineChars="200"/>
        <w:rPr>
          <w:rFonts w:ascii="黑体" w:hAnsi="黑体" w:eastAsia="黑体" w:cs="黑体"/>
          <w:sz w:val="32"/>
          <w:szCs w:val="32"/>
        </w:rPr>
      </w:pPr>
      <w:r>
        <w:rPr>
          <w:rFonts w:hint="eastAsia" w:ascii="黑体" w:hAnsi="黑体" w:eastAsia="黑体" w:cs="黑体"/>
          <w:sz w:val="32"/>
          <w:szCs w:val="32"/>
        </w:rPr>
        <w:t>六、发布公告媒介</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昆明市西山区人民医院官网：www.xsqrmyy.net。</w:t>
      </w:r>
    </w:p>
    <w:p>
      <w:pPr>
        <w:spacing w:line="560" w:lineRule="exact"/>
        <w:rPr>
          <w:rFonts w:hint="eastAsia" w:ascii="方正小标宋简体" w:hAnsi="方正小标宋简体" w:eastAsia="方正小标宋简体" w:cs="方正小标宋简体"/>
          <w:b/>
          <w:bCs/>
          <w:sz w:val="44"/>
          <w:szCs w:val="44"/>
        </w:rPr>
      </w:pPr>
    </w:p>
    <w:p>
      <w:pPr>
        <w:spacing w:line="560" w:lineRule="exact"/>
        <w:rPr>
          <w:rFonts w:ascii="仿宋_GB2312" w:hAnsi="仿宋_GB2312" w:eastAsia="仿宋_GB2312" w:cs="仿宋_GB2312"/>
          <w:b/>
          <w:bCs/>
          <w:sz w:val="32"/>
          <w:szCs w:val="32"/>
        </w:rPr>
      </w:pPr>
    </w:p>
    <w:p>
      <w:pPr>
        <w:jc w:val="center"/>
        <w:rPr>
          <w:rFonts w:ascii="仿宋_GB2312" w:hAnsi="仿宋_GB2312" w:eastAsia="仿宋_GB2312" w:cs="仿宋_GB2312"/>
          <w:sz w:val="32"/>
          <w:szCs w:val="32"/>
        </w:rPr>
      </w:pPr>
    </w:p>
    <w:p/>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0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B07BAC"/>
    <w:rsid w:val="4AB07B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昆明市西山区党政机关单位</Company>
  <Pages>1</Pages>
  <Words>0</Words>
  <Characters>0</Characters>
  <Lines>0</Lines>
  <Paragraphs>0</Paragraphs>
  <TotalTime>9</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2023-11-10T08:50:00Z</dcterms:created>
  <dc:creator>Administrator</dc:creator>
  <cp:lastModifiedBy>Administrator</cp:lastModifiedBy>
  <dcterms:modified xsi:type="dcterms:W3CDTF">2023-11-10T09:26:24Z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