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868"/>
        <w:gridCol w:w="2100"/>
        <w:gridCol w:w="3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病理科甲醛、二甲苯浓度检测采购项目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450元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  <w:t>每个点位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最终按实际检测的点位结算。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医学检验科PCR实验室空调机组更换初、中效过滤器采购项目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1280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具体详见参数和要求。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EF3A1B"/>
    <w:rsid w:val="0C0242FB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122F31"/>
    <w:rsid w:val="19863475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2022-03-21T07:48:00Z</cp:lastPrinted>
  <dcterms:modified xsi:type="dcterms:W3CDTF">2023-11-21T09:03:31Z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