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病理科甲醛、二甲苯浓度检测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bookmarkStart w:id="3" w:name="_GoBack"/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病理科甲醛、二甲苯浓度检测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bookmarkEnd w:id="3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按照国家的相关技术标准和规范的要求，对病理科甲醛、二甲苯浓度进行检测，并出具检测报告。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自签订合同后10个工作日内完成。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每个点位</w:t>
      </w:r>
      <w:r>
        <w:rPr>
          <w:rFonts w:hint="eastAsia" w:ascii="仿宋_GB2312" w:hAnsi="仿宋_GB2312" w:eastAsia="仿宋_GB2312" w:cs="仿宋_GB2312"/>
          <w:sz w:val="32"/>
          <w:szCs w:val="32"/>
        </w:rPr>
        <w:t>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肆佰伍拾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最终按实际检测的点位结算。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jc w:val="both"/>
        <w:rPr>
          <w:sz w:val="18"/>
          <w:szCs w:val="18"/>
        </w:rPr>
      </w:pPr>
    </w:p>
    <w:p>
      <w:pPr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43A08"/>
    <w:rsid w:val="3F943A08"/>
    <w:rsid w:val="69827229"/>
    <w:rsid w:val="7786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2023-11-21T06:22:00Z</dcterms:created>
  <dc:creator>杨超</dc:creator>
  <cp:lastModifiedBy>向日葵上的年糕</cp:lastModifiedBy>
  <dcterms:modified xsi:type="dcterms:W3CDTF">2023-11-21T09:02:38Z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