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pPr>
        <w:spacing w:line="560" w:lineRule="exact"/>
        <w:jc w:val="center"/>
        <w:rPr>
          <w:rFonts w:ascii="方正小标宋简体" w:hAnsi="方正小标宋简体" w:eastAsia="方正小标宋简体" w:cs="方正小标宋简体"/>
          <w:b/>
          <w:bCs/>
          <w:sz w:val="44"/>
          <w:szCs w:val="44"/>
        </w:rPr>
      </w:pPr>
      <w:bookmarkStart w:id="0" w:name="_GoBack"/>
      <w:r>
        <w:rPr>
          <w:rFonts w:hint="eastAsia" w:ascii="方正小标宋简体" w:hAnsi="方正小标宋简体" w:eastAsia="方正小标宋简体" w:cs="方正小标宋简体"/>
          <w:b/>
          <w:bCs/>
          <w:sz w:val="44"/>
          <w:szCs w:val="44"/>
          <w:lang w:val="en-US" w:eastAsia="zh-CN"/>
        </w:rPr>
        <w:t>安智路由器</w:t>
      </w:r>
      <w:r>
        <w:rPr>
          <w:rFonts w:hint="eastAsia" w:ascii="方正小标宋简体" w:hAnsi="方正小标宋简体" w:eastAsia="方正小标宋简体" w:cs="方正小标宋简体"/>
          <w:b/>
          <w:bCs/>
          <w:sz w:val="44"/>
          <w:szCs w:val="44"/>
        </w:rPr>
        <w:t>项目询价函</w:t>
      </w:r>
    </w:p>
    <w:bookmarkEnd w:id="0"/>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w:t>
      </w:r>
      <w:r>
        <w:rPr>
          <w:rFonts w:hint="eastAsia" w:ascii="仿宋_GB2312" w:hAnsi="仿宋_GB2312" w:eastAsia="仿宋_GB2312" w:cs="仿宋_GB2312"/>
          <w:sz w:val="32"/>
          <w:szCs w:val="32"/>
          <w:lang w:val="en-US" w:eastAsia="zh-CN"/>
        </w:rPr>
        <w:t>安智路由器</w:t>
      </w:r>
      <w:r>
        <w:rPr>
          <w:rFonts w:hint="eastAsia" w:ascii="仿宋_GB2312" w:hAnsi="仿宋_GB2312" w:eastAsia="仿宋_GB2312" w:cs="仿宋_GB2312"/>
          <w:sz w:val="32"/>
          <w:szCs w:val="32"/>
        </w:rPr>
        <w:t>项目进行邀请报价，诚邀符合条件并有意向的投标人参加报价。现将相关事项说明如下：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★备注：本次询价只作为市场咨询，并非最终结果，且不作为招投标参考。</w:t>
      </w:r>
    </w:p>
    <w:p>
      <w:pPr>
        <w:ind w:firstLine="640" w:firstLineChars="200"/>
        <w:rPr>
          <w:rFonts w:ascii="黑体" w:hAnsi="黑体" w:eastAsia="黑体" w:cs="黑体"/>
          <w:sz w:val="32"/>
          <w:szCs w:val="32"/>
        </w:rPr>
      </w:pPr>
      <w:r>
        <w:rPr>
          <w:rFonts w:hint="eastAsia" w:ascii="黑体" w:hAnsi="黑体" w:eastAsia="黑体" w:cs="黑体"/>
          <w:sz w:val="32"/>
          <w:szCs w:val="32"/>
        </w:rPr>
        <w:t>一、项目基本情况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（一）项目名称：</w:t>
      </w:r>
      <w:r>
        <w:rPr>
          <w:rFonts w:hint="eastAsia" w:ascii="仿宋_GB2312" w:hAnsi="仿宋_GB2312" w:eastAsia="仿宋_GB2312" w:cs="仿宋_GB2312"/>
          <w:sz w:val="32"/>
          <w:szCs w:val="32"/>
          <w:lang w:val="en-US" w:eastAsia="zh-CN"/>
        </w:rPr>
        <w:t>安智路由器</w:t>
      </w:r>
      <w:r>
        <w:rPr>
          <w:rFonts w:hint="eastAsia" w:ascii="仿宋_GB2312" w:hAnsi="仿宋_GB2312" w:eastAsia="仿宋_GB2312" w:cs="仿宋_GB2312"/>
          <w:sz w:val="32"/>
          <w:szCs w:val="32"/>
        </w:rPr>
        <w:t>项目；</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eastAsia="zh-CN"/>
        </w:rPr>
        <w:t>设备</w:t>
      </w:r>
      <w:r>
        <w:rPr>
          <w:rFonts w:hint="eastAsia" w:ascii="仿宋_GB2312" w:hAnsi="仿宋_GB2312" w:eastAsia="仿宋_GB2312" w:cs="仿宋_GB2312"/>
          <w:sz w:val="32"/>
          <w:szCs w:val="32"/>
        </w:rPr>
        <w:t>需求</w:t>
      </w:r>
    </w:p>
    <w:p>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1.供应商保证提供西山区人民医院相关设备符合国家主管部门规定的质量标准和技术要求。</w:t>
      </w:r>
    </w:p>
    <w:p>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2.严格按照国家产品质量三包政策执行，执行标准严格按照《中华人民共和国产品质量法》。 </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3.供应商的响应文件应满足咨询文件要求，技术参数应不低于咨询文件要求，实质响应条款技术参数必须与咨询文件技术要求一致（或高于咨询文件要求）</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二、详细参数</w:t>
      </w:r>
    </w:p>
    <w:tbl>
      <w:tblPr>
        <w:tblStyle w:val="2"/>
        <w:tblW w:w="9160" w:type="dxa"/>
        <w:tblInd w:w="91" w:type="dxa"/>
        <w:tblLayout w:type="fixed"/>
        <w:tblCellMar>
          <w:top w:w="0" w:type="dxa"/>
          <w:left w:w="108" w:type="dxa"/>
          <w:bottom w:w="0" w:type="dxa"/>
          <w:right w:w="108" w:type="dxa"/>
        </w:tblCellMar>
      </w:tblPr>
      <w:tblGrid>
        <w:gridCol w:w="673"/>
        <w:gridCol w:w="1207"/>
        <w:gridCol w:w="3580"/>
        <w:gridCol w:w="620"/>
        <w:gridCol w:w="940"/>
        <w:gridCol w:w="700"/>
        <w:gridCol w:w="1440"/>
      </w:tblGrid>
      <w:tr>
        <w:tblPrEx>
          <w:tblLayout w:type="fixed"/>
          <w:tblCellMar>
            <w:top w:w="0" w:type="dxa"/>
            <w:left w:w="108" w:type="dxa"/>
            <w:bottom w:w="0" w:type="dxa"/>
            <w:right w:w="108" w:type="dxa"/>
          </w:tblCellMar>
        </w:tblPrEx>
        <w:trPr>
          <w:trHeight w:val="1507" w:hRule="atLeast"/>
        </w:trPr>
        <w:tc>
          <w:tcPr>
            <w:tcW w:w="6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both"/>
              <w:rPr>
                <w:rFonts w:hint="eastAsia" w:ascii="宋体" w:hAnsi="宋体" w:cs="宋体" w:eastAsiaTheme="minorEastAsia"/>
                <w:b/>
                <w:bCs/>
                <w:color w:val="000000"/>
                <w:kern w:val="0"/>
                <w:sz w:val="22"/>
                <w:lang w:eastAsia="zh-CN"/>
              </w:rPr>
            </w:pPr>
            <w:r>
              <w:rPr>
                <w:rFonts w:hint="eastAsia" w:ascii="宋体" w:hAnsi="宋体" w:cs="宋体"/>
                <w:b/>
                <w:bCs/>
                <w:color w:val="000000"/>
                <w:kern w:val="0"/>
                <w:sz w:val="22"/>
                <w:lang w:val="en-US" w:eastAsia="zh-CN"/>
              </w:rPr>
              <w:t>序号</w:t>
            </w:r>
          </w:p>
        </w:tc>
        <w:tc>
          <w:tcPr>
            <w:tcW w:w="1207"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宋体" w:hAnsi="宋体" w:cs="宋体"/>
                <w:b/>
                <w:bCs/>
                <w:color w:val="000000"/>
                <w:kern w:val="0"/>
                <w:sz w:val="24"/>
                <w:szCs w:val="24"/>
              </w:rPr>
            </w:pPr>
            <w:r>
              <w:rPr>
                <w:rFonts w:hint="eastAsia" w:ascii="宋体" w:hAnsi="宋体" w:cs="宋体"/>
                <w:b/>
                <w:bCs/>
                <w:color w:val="000000"/>
                <w:kern w:val="0"/>
                <w:sz w:val="24"/>
                <w:szCs w:val="24"/>
              </w:rPr>
              <w:t>产品名称</w:t>
            </w:r>
          </w:p>
        </w:tc>
        <w:tc>
          <w:tcPr>
            <w:tcW w:w="35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宋体" w:hAnsi="宋体" w:cs="宋体"/>
                <w:b/>
                <w:bCs/>
                <w:color w:val="000000"/>
                <w:kern w:val="0"/>
                <w:sz w:val="24"/>
                <w:szCs w:val="24"/>
              </w:rPr>
            </w:pPr>
            <w:r>
              <w:rPr>
                <w:rFonts w:hint="eastAsia" w:ascii="宋体" w:hAnsi="宋体" w:cs="宋体"/>
                <w:b/>
                <w:bCs/>
                <w:color w:val="000000"/>
                <w:kern w:val="0"/>
                <w:sz w:val="24"/>
                <w:szCs w:val="24"/>
              </w:rPr>
              <w:t>产品型号及技术规格</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宋体" w:hAnsi="宋体" w:cs="宋体"/>
                <w:b/>
                <w:bCs/>
                <w:color w:val="000000"/>
                <w:kern w:val="0"/>
                <w:sz w:val="24"/>
                <w:szCs w:val="24"/>
              </w:rPr>
            </w:pPr>
            <w:r>
              <w:rPr>
                <w:rFonts w:hint="eastAsia" w:ascii="宋体" w:hAnsi="宋体" w:cs="宋体"/>
                <w:b/>
                <w:bCs/>
                <w:color w:val="000000"/>
                <w:kern w:val="0"/>
                <w:sz w:val="24"/>
                <w:szCs w:val="24"/>
              </w:rPr>
              <w:t>单位</w:t>
            </w:r>
          </w:p>
        </w:tc>
        <w:tc>
          <w:tcPr>
            <w:tcW w:w="9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宋体" w:hAnsi="宋体" w:cs="宋体" w:eastAsiaTheme="minorEastAsia"/>
                <w:b/>
                <w:bCs/>
                <w:color w:val="000000"/>
                <w:kern w:val="0"/>
                <w:sz w:val="24"/>
                <w:szCs w:val="24"/>
                <w:lang w:eastAsia="zh-CN"/>
              </w:rPr>
            </w:pPr>
            <w:r>
              <w:rPr>
                <w:rFonts w:hint="eastAsia" w:ascii="宋体" w:hAnsi="宋体" w:cs="宋体"/>
                <w:b/>
                <w:bCs/>
                <w:color w:val="000000"/>
                <w:kern w:val="0"/>
                <w:sz w:val="24"/>
                <w:szCs w:val="24"/>
                <w:lang w:val="en-US" w:eastAsia="zh-CN"/>
              </w:rPr>
              <w:t>数量</w:t>
            </w: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宋体" w:hAnsi="宋体" w:cs="宋体" w:eastAsiaTheme="minorEastAsia"/>
                <w:b/>
                <w:bCs/>
                <w:color w:val="000000"/>
                <w:kern w:val="0"/>
                <w:sz w:val="24"/>
                <w:szCs w:val="24"/>
                <w:lang w:eastAsia="zh-CN"/>
              </w:rPr>
            </w:pPr>
            <w:r>
              <w:rPr>
                <w:rFonts w:hint="eastAsia" w:ascii="宋体" w:hAnsi="宋体" w:cs="宋体"/>
                <w:b/>
                <w:bCs/>
                <w:color w:val="000000"/>
                <w:kern w:val="0"/>
                <w:sz w:val="24"/>
                <w:szCs w:val="24"/>
                <w:lang w:val="en-US" w:eastAsia="zh-CN"/>
              </w:rPr>
              <w:t>单价</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b/>
                <w:bCs/>
                <w:color w:val="000000"/>
                <w:kern w:val="0"/>
                <w:sz w:val="24"/>
                <w:szCs w:val="24"/>
              </w:rPr>
            </w:pPr>
            <w:r>
              <w:rPr>
                <w:rFonts w:hint="eastAsia" w:ascii="宋体" w:hAnsi="宋体" w:cs="宋体"/>
                <w:b/>
                <w:bCs/>
                <w:color w:val="000000"/>
                <w:kern w:val="0"/>
                <w:sz w:val="24"/>
                <w:szCs w:val="24"/>
              </w:rPr>
              <w:t>合计（元）</w:t>
            </w:r>
          </w:p>
        </w:tc>
      </w:tr>
    </w:tbl>
    <w:p>
      <w:pPr>
        <w:ind w:firstLine="640" w:firstLineChars="200"/>
        <w:rPr>
          <w:rFonts w:hint="eastAsia" w:ascii="黑体" w:hAnsi="黑体" w:eastAsia="黑体" w:cs="黑体"/>
          <w:sz w:val="32"/>
          <w:szCs w:val="32"/>
        </w:rPr>
      </w:pPr>
    </w:p>
    <w:tbl>
      <w:tblPr>
        <w:tblStyle w:val="2"/>
        <w:tblW w:w="9087" w:type="dxa"/>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1360"/>
        <w:gridCol w:w="3580"/>
        <w:gridCol w:w="620"/>
        <w:gridCol w:w="940"/>
        <w:gridCol w:w="70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0" w:hRule="atLeast"/>
        </w:trPr>
        <w:tc>
          <w:tcPr>
            <w:tcW w:w="447" w:type="dxa"/>
            <w:tcBorders>
              <w:tl2br w:val="nil"/>
              <w:tr2bl w:val="nil"/>
            </w:tcBorders>
            <w:shd w:val="clear" w:color="auto" w:fill="auto"/>
            <w:noWrap/>
            <w:vAlign w:val="center"/>
          </w:tcPr>
          <w:p>
            <w:pPr>
              <w:widowControl/>
              <w:spacing w:line="240" w:lineRule="auto"/>
              <w:ind w:firstLine="0" w:firstLineChars="0"/>
              <w:jc w:val="center"/>
              <w:rPr>
                <w:rFonts w:ascii="宋体" w:hAnsi="宋体" w:cs="宋体"/>
                <w:color w:val="000000"/>
                <w:kern w:val="0"/>
                <w:sz w:val="22"/>
              </w:rPr>
            </w:pPr>
            <w:r>
              <w:rPr>
                <w:rFonts w:hint="eastAsia" w:ascii="宋体" w:hAnsi="宋体" w:cs="宋体"/>
                <w:color w:val="000000"/>
                <w:kern w:val="0"/>
                <w:sz w:val="22"/>
              </w:rPr>
              <w:t>1</w:t>
            </w:r>
          </w:p>
        </w:tc>
        <w:tc>
          <w:tcPr>
            <w:tcW w:w="1360" w:type="dxa"/>
            <w:tcBorders>
              <w:tl2br w:val="nil"/>
              <w:tr2bl w:val="nil"/>
            </w:tcBorders>
            <w:shd w:val="clear" w:color="auto" w:fill="auto"/>
            <w:noWrap/>
            <w:vAlign w:val="center"/>
          </w:tcPr>
          <w:p>
            <w:pPr>
              <w:widowControl/>
              <w:spacing w:line="240" w:lineRule="auto"/>
              <w:ind w:firstLine="0" w:firstLineChars="0"/>
              <w:jc w:val="left"/>
              <w:rPr>
                <w:rFonts w:hint="default" w:ascii="宋体" w:hAnsi="宋体" w:cs="宋体" w:eastAsiaTheme="minorEastAsia"/>
                <w:color w:val="000000"/>
                <w:kern w:val="0"/>
                <w:szCs w:val="21"/>
                <w:lang w:val="en-US" w:eastAsia="zh-CN"/>
              </w:rPr>
            </w:pPr>
            <w:r>
              <w:rPr>
                <w:rFonts w:hint="eastAsia" w:ascii="宋体" w:hAnsi="宋体" w:cs="宋体"/>
                <w:color w:val="000000"/>
                <w:kern w:val="0"/>
                <w:szCs w:val="21"/>
                <w:lang w:val="en-US" w:eastAsia="zh-CN"/>
              </w:rPr>
              <w:t>安智路由器</w:t>
            </w:r>
          </w:p>
        </w:tc>
        <w:tc>
          <w:tcPr>
            <w:tcW w:w="3580" w:type="dxa"/>
            <w:tcBorders>
              <w:tl2br w:val="nil"/>
              <w:tr2bl w:val="nil"/>
            </w:tcBorders>
            <w:shd w:val="clear" w:color="auto" w:fill="auto"/>
          </w:tcPr>
          <w:p>
            <w:pPr>
              <w:widowControl/>
              <w:spacing w:line="240" w:lineRule="auto"/>
              <w:ind w:firstLine="0" w:firstLineChars="0"/>
              <w:jc w:val="left"/>
              <w:rPr>
                <w:rFonts w:hint="eastAsia" w:ascii="宋体" w:hAnsi="宋体" w:cs="宋体"/>
                <w:color w:val="000000"/>
                <w:kern w:val="0"/>
                <w:sz w:val="18"/>
                <w:szCs w:val="18"/>
              </w:rPr>
            </w:pPr>
            <w:r>
              <w:rPr>
                <w:rFonts w:hint="eastAsia" w:ascii="宋体" w:hAnsi="宋体" w:cs="宋体"/>
                <w:color w:val="000000"/>
                <w:kern w:val="0"/>
                <w:sz w:val="18"/>
                <w:szCs w:val="18"/>
              </w:rPr>
              <w:t>防火墙吞吐性能：300Mbps，VPN加密性能（混合包场景，平均包长516）：80Mbps。</w:t>
            </w:r>
          </w:p>
          <w:p>
            <w:pPr>
              <w:widowControl/>
              <w:spacing w:line="240" w:lineRule="auto"/>
              <w:ind w:firstLine="0" w:firstLineChars="0"/>
              <w:jc w:val="left"/>
              <w:rPr>
                <w:rFonts w:hint="eastAsia" w:ascii="宋体" w:hAnsi="宋体" w:cs="宋体"/>
                <w:color w:val="000000"/>
                <w:kern w:val="0"/>
                <w:sz w:val="18"/>
                <w:szCs w:val="18"/>
              </w:rPr>
            </w:pPr>
            <w:r>
              <w:rPr>
                <w:rFonts w:hint="eastAsia" w:ascii="宋体" w:hAnsi="宋体" w:cs="宋体"/>
                <w:color w:val="000000"/>
                <w:kern w:val="0"/>
                <w:sz w:val="18"/>
                <w:szCs w:val="18"/>
              </w:rPr>
              <w:t>硬件参数：规格：桌面型，内存大小：512M，硬盘容量：板载FLASH 4GB，电源：单电源，接口：5千兆电口。</w:t>
            </w:r>
          </w:p>
          <w:p>
            <w:pPr>
              <w:widowControl/>
              <w:spacing w:line="240" w:lineRule="auto"/>
              <w:ind w:firstLine="0" w:firstLineChars="0"/>
              <w:jc w:val="left"/>
              <w:rPr>
                <w:rFonts w:hint="eastAsia" w:ascii="宋体" w:hAnsi="宋体" w:cs="宋体"/>
                <w:color w:val="000000"/>
                <w:kern w:val="0"/>
                <w:sz w:val="18"/>
                <w:szCs w:val="18"/>
              </w:rPr>
            </w:pPr>
            <w:r>
              <w:rPr>
                <w:rFonts w:hint="eastAsia" w:ascii="宋体" w:hAnsi="宋体" w:cs="宋体"/>
                <w:color w:val="000000"/>
                <w:kern w:val="0"/>
                <w:sz w:val="18"/>
                <w:szCs w:val="18"/>
              </w:rPr>
              <w:t>功能描述：安全智能路由器具备智能流量调度及优化、易部署和可视化管理、多维度安全防护等同时兼备IPSec VPN、路由、交换等功能，实现分支IT一体化交付。</w:t>
            </w:r>
          </w:p>
          <w:p>
            <w:pPr>
              <w:widowControl/>
              <w:spacing w:line="240" w:lineRule="auto"/>
              <w:ind w:firstLine="0" w:firstLineChars="0"/>
              <w:jc w:val="left"/>
              <w:rPr>
                <w:rFonts w:hint="eastAsia" w:ascii="宋体" w:hAnsi="宋体" w:cs="宋体"/>
                <w:color w:val="000000"/>
                <w:kern w:val="0"/>
                <w:sz w:val="18"/>
                <w:szCs w:val="18"/>
              </w:rPr>
            </w:pPr>
            <w:r>
              <w:rPr>
                <w:rFonts w:hint="eastAsia" w:ascii="宋体" w:hAnsi="宋体" w:cs="宋体"/>
                <w:color w:val="000000"/>
                <w:kern w:val="0"/>
                <w:sz w:val="18"/>
                <w:szCs w:val="18"/>
              </w:rPr>
              <w:t>含：</w:t>
            </w:r>
          </w:p>
          <w:p>
            <w:pPr>
              <w:widowControl/>
              <w:spacing w:line="240" w:lineRule="auto"/>
              <w:ind w:firstLine="0" w:firstLineChars="0"/>
              <w:jc w:val="left"/>
              <w:rPr>
                <w:rFonts w:hint="eastAsia" w:ascii="宋体" w:hAnsi="宋体" w:cs="宋体"/>
                <w:color w:val="000000"/>
                <w:kern w:val="0"/>
                <w:sz w:val="18"/>
                <w:szCs w:val="18"/>
              </w:rPr>
            </w:pPr>
            <w:r>
              <w:rPr>
                <w:rFonts w:hint="eastAsia" w:ascii="宋体" w:hAnsi="宋体" w:cs="宋体"/>
                <w:color w:val="000000"/>
                <w:kern w:val="0"/>
                <w:sz w:val="18"/>
                <w:szCs w:val="18"/>
              </w:rPr>
              <w:t>安全智能路由器软件V4.0(*1套);</w:t>
            </w:r>
          </w:p>
          <w:p>
            <w:pPr>
              <w:widowControl/>
              <w:spacing w:line="240" w:lineRule="auto"/>
              <w:ind w:firstLine="0" w:firstLineChars="0"/>
              <w:jc w:val="left"/>
              <w:rPr>
                <w:rFonts w:hint="eastAsia" w:ascii="宋体" w:hAnsi="宋体" w:cs="宋体"/>
                <w:color w:val="000000"/>
                <w:kern w:val="0"/>
                <w:sz w:val="18"/>
                <w:szCs w:val="18"/>
              </w:rPr>
            </w:pPr>
            <w:r>
              <w:rPr>
                <w:rFonts w:hint="eastAsia" w:ascii="宋体" w:hAnsi="宋体" w:cs="宋体"/>
                <w:color w:val="000000"/>
                <w:kern w:val="0"/>
                <w:sz w:val="18"/>
                <w:szCs w:val="18"/>
              </w:rPr>
              <w:t>产品质保(*3年);</w:t>
            </w:r>
          </w:p>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软件升级(*3年);</w:t>
            </w:r>
          </w:p>
        </w:tc>
        <w:tc>
          <w:tcPr>
            <w:tcW w:w="620" w:type="dxa"/>
            <w:tcBorders>
              <w:tl2br w:val="nil"/>
              <w:tr2bl w:val="nil"/>
            </w:tcBorders>
            <w:shd w:val="clear" w:color="auto" w:fill="auto"/>
            <w:noWrap/>
            <w:vAlign w:val="center"/>
          </w:tcPr>
          <w:p>
            <w:pPr>
              <w:widowControl/>
              <w:spacing w:line="240" w:lineRule="auto"/>
              <w:ind w:firstLine="0" w:firstLineChars="0"/>
              <w:jc w:val="center"/>
              <w:rPr>
                <w:rFonts w:ascii="宋体" w:hAnsi="宋体" w:cs="宋体"/>
                <w:color w:val="000000"/>
                <w:kern w:val="0"/>
                <w:sz w:val="24"/>
                <w:szCs w:val="24"/>
              </w:rPr>
            </w:pPr>
            <w:r>
              <w:rPr>
                <w:rFonts w:hint="eastAsia" w:ascii="宋体" w:hAnsi="宋体" w:cs="宋体"/>
                <w:color w:val="000000"/>
                <w:kern w:val="0"/>
                <w:sz w:val="24"/>
                <w:szCs w:val="24"/>
              </w:rPr>
              <w:t>台</w:t>
            </w:r>
          </w:p>
        </w:tc>
        <w:tc>
          <w:tcPr>
            <w:tcW w:w="940" w:type="dxa"/>
            <w:tcBorders>
              <w:tl2br w:val="nil"/>
              <w:tr2bl w:val="nil"/>
            </w:tcBorders>
            <w:shd w:val="clear" w:color="auto" w:fill="auto"/>
            <w:noWrap/>
            <w:vAlign w:val="center"/>
          </w:tcPr>
          <w:p>
            <w:pPr>
              <w:widowControl/>
              <w:spacing w:line="240" w:lineRule="auto"/>
              <w:ind w:firstLine="0" w:firstLineChars="0"/>
              <w:jc w:val="center"/>
              <w:rPr>
                <w:rFonts w:hint="eastAsia" w:ascii="宋体" w:hAnsi="宋体" w:cs="宋体" w:eastAsiaTheme="minorEastAsia"/>
                <w:color w:val="000000"/>
                <w:kern w:val="0"/>
                <w:sz w:val="22"/>
                <w:lang w:val="en-US" w:eastAsia="zh-CN"/>
              </w:rPr>
            </w:pPr>
            <w:r>
              <w:rPr>
                <w:rFonts w:hint="eastAsia" w:ascii="宋体" w:hAnsi="宋体" w:cs="宋体"/>
                <w:color w:val="000000"/>
                <w:kern w:val="0"/>
                <w:sz w:val="22"/>
                <w:lang w:val="en-US" w:eastAsia="zh-CN"/>
              </w:rPr>
              <w:t>1</w:t>
            </w:r>
          </w:p>
        </w:tc>
        <w:tc>
          <w:tcPr>
            <w:tcW w:w="700" w:type="dxa"/>
            <w:tcBorders>
              <w:tl2br w:val="nil"/>
              <w:tr2bl w:val="nil"/>
            </w:tcBorders>
            <w:shd w:val="clear" w:color="auto" w:fill="auto"/>
            <w:noWrap/>
            <w:vAlign w:val="center"/>
          </w:tcPr>
          <w:p>
            <w:pPr>
              <w:widowControl/>
              <w:spacing w:line="240" w:lineRule="auto"/>
              <w:ind w:firstLine="0" w:firstLineChars="0"/>
              <w:jc w:val="center"/>
              <w:rPr>
                <w:rFonts w:hint="eastAsia" w:ascii="宋体" w:hAnsi="宋体" w:cs="宋体" w:eastAsiaTheme="minorEastAsia"/>
                <w:color w:val="000000"/>
                <w:kern w:val="0"/>
                <w:sz w:val="22"/>
                <w:lang w:eastAsia="zh-CN"/>
              </w:rPr>
            </w:pPr>
          </w:p>
        </w:tc>
        <w:tc>
          <w:tcPr>
            <w:tcW w:w="1440" w:type="dxa"/>
            <w:tcBorders>
              <w:tl2br w:val="nil"/>
              <w:tr2bl w:val="nil"/>
            </w:tcBorders>
            <w:shd w:val="clear" w:color="auto" w:fill="auto"/>
            <w:noWrap/>
            <w:vAlign w:val="center"/>
          </w:tcPr>
          <w:p>
            <w:pPr>
              <w:widowControl/>
              <w:spacing w:line="240" w:lineRule="auto"/>
              <w:ind w:firstLine="0" w:firstLineChars="0"/>
              <w:jc w:val="center"/>
              <w:rPr>
                <w:rFonts w:ascii="宋体" w:hAnsi="宋体" w:cs="宋体"/>
                <w:color w:val="000000"/>
                <w:kern w:val="0"/>
                <w:sz w:val="22"/>
              </w:rPr>
            </w:pPr>
          </w:p>
        </w:tc>
      </w:tr>
    </w:tbl>
    <w:p>
      <w:pPr>
        <w:rPr>
          <w:rFonts w:ascii="黑体" w:hAnsi="黑体" w:eastAsia="黑体" w:cs="黑体"/>
          <w:sz w:val="32"/>
          <w:szCs w:val="32"/>
        </w:rPr>
      </w:pPr>
    </w:p>
    <w:p>
      <w:pPr>
        <w:ind w:firstLine="640" w:firstLineChars="200"/>
        <w:rPr>
          <w:rFonts w:ascii="黑体" w:hAnsi="黑体" w:eastAsia="黑体" w:cs="黑体"/>
          <w:sz w:val="32"/>
          <w:szCs w:val="32"/>
        </w:rPr>
      </w:pPr>
      <w:r>
        <w:rPr>
          <w:rFonts w:hint="eastAsia" w:ascii="黑体" w:hAnsi="黑体" w:eastAsia="黑体" w:cs="黑体"/>
          <w:sz w:val="32"/>
          <w:szCs w:val="32"/>
        </w:rPr>
        <w:t>三、询价函发布时间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日。</w:t>
      </w:r>
    </w:p>
    <w:p>
      <w:pPr>
        <w:ind w:firstLine="640" w:firstLineChars="200"/>
        <w:rPr>
          <w:rFonts w:ascii="黑体" w:hAnsi="黑体" w:eastAsia="黑体" w:cs="黑体"/>
          <w:sz w:val="32"/>
          <w:szCs w:val="32"/>
        </w:rPr>
      </w:pPr>
      <w:r>
        <w:rPr>
          <w:rFonts w:hint="eastAsia" w:ascii="黑体" w:hAnsi="黑体" w:eastAsia="黑体" w:cs="黑体"/>
          <w:sz w:val="32"/>
          <w:szCs w:val="32"/>
        </w:rPr>
        <w:t>四、报价函投递要求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（一）收取地点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w:t>
      </w:r>
      <w:r>
        <w:rPr>
          <w:rFonts w:hint="eastAsia" w:ascii="仿宋_GB2312" w:hAnsi="仿宋_GB2312" w:eastAsia="仿宋_GB2312" w:cs="仿宋_GB2312"/>
          <w:sz w:val="32"/>
          <w:szCs w:val="32"/>
          <w:lang w:val="en-US" w:eastAsia="zh-CN"/>
        </w:rPr>
        <w:t>门诊</w:t>
      </w:r>
      <w:r>
        <w:rPr>
          <w:rFonts w:hint="eastAsia" w:ascii="仿宋_GB2312" w:hAnsi="仿宋_GB2312" w:eastAsia="仿宋_GB2312" w:cs="仿宋_GB2312"/>
          <w:sz w:val="32"/>
          <w:szCs w:val="32"/>
        </w:rPr>
        <w:t>4楼信息科</w:t>
      </w:r>
      <w:r>
        <w:rPr>
          <w:rFonts w:hint="eastAsia" w:ascii="仿宋_GB2312" w:hAnsi="仿宋_GB2312" w:eastAsia="仿宋_GB2312" w:cs="仿宋_GB2312"/>
          <w:sz w:val="32"/>
          <w:szCs w:val="32"/>
          <w:lang w:val="en-US" w:eastAsia="zh-CN"/>
        </w:rPr>
        <w:t>4028室</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上午10</w:t>
      </w:r>
      <w:r>
        <w:rPr>
          <w:rFonts w:hint="eastAsia" w:ascii="仿宋_GB2312" w:hAnsi="仿宋_GB2312" w:eastAsia="仿宋_GB2312" w:cs="仿宋_GB2312"/>
          <w:sz w:val="32"/>
          <w:szCs w:val="32"/>
        </w:rPr>
        <w:t>:00（北京时间）逾期收到或不符合规定的文件将被拒绝。</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0871－68182721</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（四）联系人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陈老师</w:t>
      </w:r>
    </w:p>
    <w:p>
      <w:pPr>
        <w:ind w:firstLine="640" w:firstLineChars="200"/>
        <w:rPr>
          <w:rFonts w:ascii="黑体" w:hAnsi="黑体" w:eastAsia="黑体" w:cs="黑体"/>
          <w:sz w:val="32"/>
          <w:szCs w:val="32"/>
        </w:rPr>
      </w:pPr>
      <w:r>
        <w:rPr>
          <w:rFonts w:hint="eastAsia" w:ascii="黑体" w:hAnsi="黑体" w:eastAsia="黑体" w:cs="黑体"/>
          <w:sz w:val="32"/>
          <w:szCs w:val="32"/>
        </w:rPr>
        <w:t>五、报价函材料要求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（一）营业执照、税务登记证、事业单位法人证书及开户行信息复印件并加盖单位鲜章；</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（二）公司法定代表人证明书及报名人授权委托书原件；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（三）公司法定代表人及报名人身份证复印件；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（四）报价表（详见附件）；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（六）联系人及联系电话。</w:t>
      </w:r>
    </w:p>
    <w:p>
      <w:pPr>
        <w:ind w:firstLine="640" w:firstLineChars="200"/>
        <w:rPr>
          <w:rFonts w:ascii="黑体" w:hAnsi="黑体" w:eastAsia="黑体" w:cs="黑体"/>
          <w:sz w:val="32"/>
          <w:szCs w:val="32"/>
        </w:rPr>
      </w:pPr>
      <w:r>
        <w:rPr>
          <w:rFonts w:hint="eastAsia" w:ascii="黑体" w:hAnsi="黑体" w:eastAsia="黑体" w:cs="黑体"/>
          <w:sz w:val="32"/>
          <w:szCs w:val="32"/>
        </w:rPr>
        <w:t>六、发布公告媒介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昆明市西山区人民医院官网：www.xsqrmyy.net。</w:t>
      </w:r>
    </w:p>
    <w:p>
      <w:pPr>
        <w:spacing w:line="560" w:lineRule="exact"/>
        <w:rPr>
          <w:rFonts w:hint="eastAsia" w:ascii="方正小标宋简体" w:hAnsi="方正小标宋简体" w:eastAsia="方正小标宋简体" w:cs="方正小标宋简体"/>
          <w:b/>
          <w:bCs/>
          <w:sz w:val="44"/>
          <w:szCs w:val="44"/>
        </w:rPr>
      </w:pPr>
    </w:p>
    <w:p>
      <w:pPr>
        <w:spacing w:line="560" w:lineRule="exact"/>
        <w:rPr>
          <w:rFonts w:ascii="仿宋_GB2312" w:hAnsi="仿宋_GB2312" w:eastAsia="仿宋_GB2312" w:cs="仿宋_GB2312"/>
          <w:b/>
          <w:bCs/>
          <w:sz w:val="32"/>
          <w:szCs w:val="32"/>
        </w:rPr>
      </w:pPr>
    </w:p>
    <w:p>
      <w:pPr>
        <w:jc w:val="center"/>
        <w:rPr>
          <w:rFonts w:ascii="仿宋_GB2312" w:hAnsi="仿宋_GB2312" w:eastAsia="仿宋_GB2312" w:cs="仿宋_GB2312"/>
          <w:sz w:val="32"/>
          <w:szCs w:val="32"/>
        </w:rPr>
      </w:pPr>
    </w:p>
    <w:p/>
    <w:p/>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652B06"/>
    <w:rsid w:val="15652B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昆明市西山区党政机关单位</Company>
  <Pages>1</Pages>
  <Words>0</Words>
  <Characters>0</Characters>
  <Lines>0</Lines>
  <Paragraphs>0</Paragraphs>
  <TotalTime>6</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2023-11-24T09:14:00Z</dcterms:created>
  <dc:creator>Administrator</dc:creator>
  <cp:lastModifiedBy>Administrator</cp:lastModifiedBy>
  <dcterms:modified xsi:type="dcterms:W3CDTF">2023-11-24T09:22:33Z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