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3868"/>
        <w:gridCol w:w="2100"/>
        <w:gridCol w:w="3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病理科甲醛、二甲苯浓度检测采购项目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450元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每个点位</w:t>
            </w: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最终按实际检测的点位结算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医学检验科PCR实验室空调机组更换初、中效过滤器采购项目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1280</w:t>
            </w: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具体详见参数和要求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医院2022年度财务报告、工会2022年度财务报告专项审计项目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40000</w:t>
            </w: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EF3A1B"/>
    <w:rsid w:val="0B5B2193"/>
    <w:rsid w:val="0C0242FB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DF36D22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2022-03-21T07:48:00Z</cp:lastPrinted>
  <dcterms:modified xsi:type="dcterms:W3CDTF">2023-11-27T07:58:02Z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