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昆明市西山区人民医院</w:t>
      </w:r>
    </w:p>
    <w:p>
      <w:pPr>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临床路径审核上报系统</w:t>
      </w:r>
      <w:r>
        <w:rPr>
          <w:rFonts w:hint="eastAsia" w:ascii="方正小标宋简体" w:hAnsi="方正小标宋简体" w:eastAsia="方正小标宋简体" w:cs="方正小标宋简体"/>
          <w:bCs/>
          <w:sz w:val="44"/>
          <w:szCs w:val="44"/>
        </w:rPr>
        <w:t>等项目招标公告</w:t>
      </w:r>
    </w:p>
    <w:p>
      <w:pPr>
        <w:spacing w:line="550" w:lineRule="exact"/>
        <w:ind w:firstLine="0" w:firstLineChars="0"/>
        <w:jc w:val="center"/>
        <w:rPr>
          <w:rFonts w:asciiTheme="majorEastAsia" w:hAnsiTheme="majorEastAsia" w:eastAsiaTheme="majorEastAsia"/>
          <w:b/>
          <w:color w:val="000000" w:themeColor="text1"/>
          <w:sz w:val="44"/>
          <w:szCs w:val="44"/>
          <w14:textFill>
            <w14:solidFill>
              <w14:schemeClr w14:val="tx1"/>
            </w14:solidFill>
          </w14:textFill>
        </w:rPr>
      </w:pP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一、项目名称</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临床路径审核上报系统</w:t>
      </w:r>
      <w:r>
        <w:rPr>
          <w:rFonts w:hint="eastAsia" w:ascii="仿宋_GB2312" w:hAnsi="仿宋_GB2312" w:eastAsia="仿宋_GB2312" w:cs="仿宋_GB2312"/>
          <w:color w:val="000000" w:themeColor="text1"/>
          <w:sz w:val="32"/>
          <w:szCs w:val="32"/>
          <w14:textFill>
            <w14:solidFill>
              <w14:schemeClr w14:val="tx1"/>
            </w14:solidFill>
          </w14:textFill>
        </w:rPr>
        <w:t>等项目（询价采购）。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Times New Roman" w:hAnsi="Times New Roman" w:eastAsia="仿宋_GB2312"/>
          <w:sz w:val="32"/>
          <w:szCs w:val="32"/>
        </w:rPr>
      </w:pPr>
      <w:r>
        <w:rPr>
          <w:rFonts w:hint="eastAsia" w:ascii="Times New Roman" w:hAnsi="Times New Roman" w:eastAsia="仿宋_GB2312"/>
          <w:sz w:val="32"/>
          <w:szCs w:val="32"/>
        </w:rPr>
        <w:t>采购方：</w:t>
      </w:r>
      <w:r>
        <w:rPr>
          <w:rFonts w:ascii="Times New Roman" w:hAnsi="Times New Roman" w:eastAsia="仿宋_GB2312"/>
          <w:sz w:val="32"/>
          <w:szCs w:val="32"/>
        </w:rPr>
        <w:t>昆明市西山区人民医院</w:t>
      </w:r>
      <w:r>
        <w:rPr>
          <w:rFonts w:hint="eastAsia" w:ascii="Times New Roman" w:hAnsi="Times New Roman" w:eastAsia="仿宋_GB2312"/>
          <w:sz w:val="32"/>
          <w:szCs w:val="32"/>
        </w:rPr>
        <w:t>；</w:t>
      </w:r>
    </w:p>
    <w:p>
      <w:pPr>
        <w:spacing w:line="560" w:lineRule="exact"/>
        <w:ind w:firstLine="640"/>
        <w:jc w:val="left"/>
        <w:rPr>
          <w:rFonts w:ascii="Times New Roman" w:hAnsi="Times New Roman" w:eastAsia="仿宋_GB2312"/>
          <w:sz w:val="32"/>
          <w:szCs w:val="32"/>
        </w:rPr>
      </w:pPr>
      <w:r>
        <w:rPr>
          <w:rFonts w:ascii="Times New Roman" w:hAnsi="Times New Roman" w:eastAsia="仿宋_GB2312"/>
          <w:sz w:val="32"/>
          <w:szCs w:val="32"/>
        </w:rPr>
        <w:t>时间：202</w:t>
      </w:r>
      <w:r>
        <w:rPr>
          <w:rFonts w:hint="eastAsia" w:ascii="Times New Roman" w:hAnsi="Times New Roman" w:eastAsia="仿宋_GB2312"/>
          <w:sz w:val="32"/>
          <w:szCs w:val="32"/>
        </w:rPr>
        <w:t>3</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12</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14</w:t>
      </w:r>
      <w:r>
        <w:rPr>
          <w:rFonts w:ascii="Times New Roman" w:hAnsi="Times New Roman" w:eastAsia="仿宋_GB2312"/>
          <w:sz w:val="32"/>
          <w:szCs w:val="32"/>
        </w:rPr>
        <w:t>日上午10：00时</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地点：昆明市西山区人民医院4楼多功能厅</w:t>
      </w:r>
      <w:r>
        <w:rPr>
          <w:rFonts w:hint="eastAsia" w:ascii="Times New Roman" w:hAnsi="Times New Roman" w:eastAsia="仿宋_GB2312"/>
          <w:sz w:val="32"/>
          <w:szCs w:val="32"/>
        </w:rPr>
        <w:t>。</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三、技术参数及要求</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详见附件1。</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四、供货期</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自签订采购合同起7个工作日内。</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五、预算价格</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80000</w:t>
      </w:r>
      <w:r>
        <w:rPr>
          <w:rFonts w:hint="eastAsia" w:ascii="仿宋_GB2312" w:hAnsi="仿宋_GB2312" w:eastAsia="仿宋_GB2312" w:cs="仿宋_GB2312"/>
          <w:color w:val="000000" w:themeColor="text1"/>
          <w:sz w:val="32"/>
          <w:szCs w:val="32"/>
          <w14:textFill>
            <w14:solidFill>
              <w14:schemeClr w14:val="tx1"/>
            </w14:solidFill>
          </w14:textFill>
        </w:rPr>
        <w:t>.00元（大写：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捌</w:t>
      </w:r>
      <w:r>
        <w:rPr>
          <w:rFonts w:hint="eastAsia" w:ascii="仿宋_GB2312" w:hAnsi="仿宋_GB2312" w:eastAsia="仿宋_GB2312" w:cs="仿宋_GB2312"/>
          <w:color w:val="000000" w:themeColor="text1"/>
          <w:sz w:val="32"/>
          <w:szCs w:val="32"/>
          <w14:textFill>
            <w14:solidFill>
              <w14:schemeClr w14:val="tx1"/>
            </w14:solidFill>
          </w14:textFill>
        </w:rPr>
        <w:t>万元整），报价不得超预算。</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六、合格的投标人要求</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（一）营业执照复印件、税务登记证复印件、</w:t>
      </w:r>
      <w:r>
        <w:rPr>
          <w:rFonts w:hint="eastAsia" w:ascii="仿宋_GB2312" w:hAnsi="仿宋_GB2312" w:eastAsia="仿宋_GB2312" w:cs="仿宋_GB2312"/>
          <w:sz w:val="31"/>
          <w:szCs w:val="31"/>
        </w:rPr>
        <w:t>组织机构代码证复印件（或三证合一，带二维码），须加盖贵公司公章，否则视为无效文件，且资质文件在有效期内</w:t>
      </w:r>
      <w:r>
        <w:rPr>
          <w:rFonts w:hint="eastAsia" w:ascii="仿宋_GB2312" w:hAnsi="仿宋_GB2312" w:eastAsia="仿宋_GB2312" w:cs="仿宋_GB2312"/>
          <w:sz w:val="32"/>
          <w:szCs w:val="32"/>
        </w:rPr>
        <w: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（二）具有相应经营范围的独立法人或其他组织；</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（三）具有独立承担民事责任能力；</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（四）具有良好的商业信誉和健全的财务制度；</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（五）具有履行合同所必需的设备和专业技术能力；</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（六）投标在近三年内无行贿犯罪记录；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（七）法人代表授权书、以及被授权代表身份证复印件。</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七、售后服务</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（一）供货企业所投产品、规格必须满足《昆明市西山区人民医院集中采购管理暂行办法》要求，质量必须符合国家相关部门标准。 </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（二）在产品质量保证期间，出现质量问题，供货企业应无条件接受退货并迅速作出调换，不得影响医院业务正常运转，所有费用由供货企业承担。</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八、投标人投标流程</w:t>
      </w:r>
    </w:p>
    <w:p>
      <w:pPr>
        <w:spacing w:line="560" w:lineRule="exact"/>
        <w:ind w:firstLine="640"/>
        <w:rPr>
          <w:rFonts w:ascii="仿宋_GB2312" w:hAnsi="Times New Roman" w:eastAsia="仿宋_GB2312"/>
          <w:sz w:val="32"/>
          <w:szCs w:val="32"/>
        </w:rPr>
      </w:pPr>
      <w:r>
        <w:rPr>
          <w:rFonts w:ascii="Times New Roman" w:hAnsi="Times New Roman" w:eastAsia="仿宋_GB2312"/>
          <w:color w:val="000000" w:themeColor="text1"/>
          <w:sz w:val="32"/>
          <w:szCs w:val="32"/>
          <w14:textFill>
            <w14:solidFill>
              <w14:schemeClr w14:val="tx1"/>
            </w14:solidFill>
          </w14:textFill>
        </w:rPr>
        <w:t>凡符合条件并有意向的供应商可携带相关资质及报价文件，于202</w:t>
      </w:r>
      <w:r>
        <w:rPr>
          <w:rFonts w:hint="eastAsia" w:ascii="Times New Roman" w:hAnsi="Times New Roman" w:eastAsia="仿宋_GB2312"/>
          <w:color w:val="000000" w:themeColor="text1"/>
          <w:sz w:val="32"/>
          <w:szCs w:val="32"/>
          <w14:textFill>
            <w14:solidFill>
              <w14:schemeClr w14:val="tx1"/>
            </w14:solidFill>
          </w14:textFill>
        </w:rPr>
        <w:t>3</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lang w:val="en-US" w:eastAsia="zh-CN"/>
          <w14:textFill>
            <w14:solidFill>
              <w14:schemeClr w14:val="tx1"/>
            </w14:solidFill>
          </w14:textFill>
        </w:rPr>
        <w:t>12</w:t>
      </w:r>
      <w:r>
        <w:rPr>
          <w:rFonts w:ascii="Times New Roman" w:hAnsi="Times New Roman" w:eastAsia="仿宋_GB2312"/>
          <w:color w:val="000000" w:themeColor="text1"/>
          <w:sz w:val="32"/>
          <w:szCs w:val="32"/>
          <w14:textFill>
            <w14:solidFill>
              <w14:schemeClr w14:val="tx1"/>
            </w14:solidFill>
          </w14:textFill>
        </w:rPr>
        <w:t>月</w:t>
      </w:r>
      <w:r>
        <w:rPr>
          <w:rFonts w:hint="eastAsia" w:ascii="Times New Roman" w:hAnsi="Times New Roman" w:eastAsia="仿宋_GB2312"/>
          <w:color w:val="000000" w:themeColor="text1"/>
          <w:sz w:val="32"/>
          <w:szCs w:val="32"/>
          <w:lang w:val="en-US" w:eastAsia="zh-CN"/>
          <w14:textFill>
            <w14:solidFill>
              <w14:schemeClr w14:val="tx1"/>
            </w14:solidFill>
          </w14:textFill>
        </w:rPr>
        <w:t>14</w:t>
      </w:r>
      <w:r>
        <w:rPr>
          <w:rFonts w:ascii="Times New Roman" w:hAnsi="Times New Roman" w:eastAsia="仿宋_GB2312"/>
          <w:color w:val="000000" w:themeColor="text1"/>
          <w:sz w:val="32"/>
          <w:szCs w:val="32"/>
          <w14:textFill>
            <w14:solidFill>
              <w14:schemeClr w14:val="tx1"/>
            </w14:solidFill>
          </w14:textFill>
        </w:rPr>
        <w:t>日9:55之前，将投标文件交到党政综合办公室。逾期未送达指定地点的投标文件，招标</w:t>
      </w:r>
      <w:r>
        <w:rPr>
          <w:rFonts w:hint="eastAsia" w:ascii="Times New Roman" w:hAnsi="Times New Roman" w:eastAsia="仿宋_GB2312"/>
          <w:color w:val="000000" w:themeColor="text1"/>
          <w:sz w:val="32"/>
          <w:szCs w:val="32"/>
          <w14:textFill>
            <w14:solidFill>
              <w14:schemeClr w14:val="tx1"/>
            </w14:solidFill>
          </w14:textFill>
        </w:rPr>
        <w:t>小组工作人员</w:t>
      </w:r>
      <w:r>
        <w:rPr>
          <w:rFonts w:ascii="Times New Roman" w:hAnsi="Times New Roman" w:eastAsia="仿宋_GB2312"/>
          <w:color w:val="000000" w:themeColor="text1"/>
          <w:sz w:val="32"/>
          <w:szCs w:val="32"/>
          <w14:textFill>
            <w14:solidFill>
              <w14:schemeClr w14:val="tx1"/>
            </w14:solidFill>
          </w14:textFill>
        </w:rPr>
        <w:t>不予受理</w:t>
      </w:r>
      <w:r>
        <w:rPr>
          <w:rFonts w:hint="eastAsia" w:ascii="Times New Roman" w:hAnsi="Times New Roman" w:eastAsia="仿宋_GB2312"/>
          <w:color w:val="000000" w:themeColor="text1"/>
          <w:sz w:val="32"/>
          <w:szCs w:val="32"/>
          <w14:textFill>
            <w14:solidFill>
              <w14:schemeClr w14:val="tx1"/>
            </w14:solidFill>
          </w14:textFill>
        </w:rPr>
        <w:t>。</w:t>
      </w:r>
    </w:p>
    <w:p>
      <w:pPr>
        <w:spacing w:line="560" w:lineRule="exact"/>
        <w:ind w:firstLine="640"/>
        <w:rPr>
          <w:rFonts w:ascii="黑体" w:hAnsi="黑体" w:eastAsia="黑体" w:cs="黑体"/>
          <w:sz w:val="32"/>
          <w:szCs w:val="32"/>
        </w:rPr>
      </w:pPr>
      <w:r>
        <w:rPr>
          <w:rFonts w:hint="eastAsia" w:ascii="黑体" w:hAnsi="黑体" w:eastAsia="黑体"/>
          <w:color w:val="000000" w:themeColor="text1"/>
          <w:sz w:val="32"/>
          <w:szCs w:val="32"/>
          <w14:textFill>
            <w14:solidFill>
              <w14:schemeClr w14:val="tx1"/>
            </w14:solidFill>
          </w14:textFill>
        </w:rPr>
        <w:t>九、</w:t>
      </w:r>
      <w:r>
        <w:rPr>
          <w:rFonts w:hint="eastAsia" w:ascii="黑体" w:hAnsi="黑体" w:eastAsia="黑体" w:cs="黑体"/>
          <w:sz w:val="32"/>
          <w:szCs w:val="32"/>
        </w:rPr>
        <w:t>招标结果公示</w:t>
      </w:r>
    </w:p>
    <w:p>
      <w:pPr>
        <w:spacing w:line="560" w:lineRule="exact"/>
        <w:ind w:firstLine="640"/>
        <w:rPr>
          <w:rFonts w:ascii="仿宋_GB2312" w:hAnsi="Times New Roman" w:eastAsia="仿宋_GB2312"/>
          <w:color w:val="FF0000"/>
          <w:sz w:val="32"/>
          <w:szCs w:val="32"/>
        </w:rPr>
      </w:pPr>
      <w:r>
        <w:rPr>
          <w:rFonts w:hint="eastAsia" w:ascii="仿宋_GB2312" w:hAnsi="仿宋_GB2312" w:eastAsia="仿宋_GB2312" w:cs="仿宋_GB2312"/>
          <w:sz w:val="32"/>
          <w:szCs w:val="32"/>
        </w:rPr>
        <w:t>（一）</w:t>
      </w:r>
      <w:r>
        <w:rPr>
          <w:rFonts w:ascii="Times New Roman" w:hAnsi="Times New Roman" w:eastAsia="仿宋_GB2312"/>
          <w:sz w:val="32"/>
          <w:szCs w:val="32"/>
        </w:rPr>
        <w:t>经我院招标会议后将进行招标结果公示，待公示期结束无异议后，将通知中标供应商，未中标的供应商将不再另行通知，敬请谅解。</w:t>
      </w:r>
    </w:p>
    <w:p>
      <w:pPr>
        <w:spacing w:line="560" w:lineRule="exact"/>
        <w:ind w:firstLine="640"/>
        <w:rPr>
          <w:rFonts w:ascii="楷体_GB2312" w:hAnsi="楷体_GB2312" w:eastAsia="楷体_GB2312" w:cs="楷体_GB2312"/>
          <w:sz w:val="32"/>
          <w:szCs w:val="32"/>
        </w:rPr>
      </w:pPr>
      <w:r>
        <w:rPr>
          <w:rFonts w:hint="eastAsia" w:ascii="仿宋_GB2312" w:hAnsi="仿宋_GB2312" w:eastAsia="仿宋_GB2312" w:cs="仿宋_GB2312"/>
          <w:sz w:val="32"/>
          <w:szCs w:val="32"/>
        </w:rPr>
        <w:t>（二）</w:t>
      </w:r>
      <w:r>
        <w:rPr>
          <w:rFonts w:hint="eastAsia" w:ascii="楷体_GB2312" w:hAnsi="楷体_GB2312" w:eastAsia="楷体_GB2312" w:cs="楷体_GB2312"/>
          <w:sz w:val="32"/>
          <w:szCs w:val="32"/>
        </w:rPr>
        <w:t>招标结果公示地点</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华文楷体" w:hAnsi="华文楷体" w:eastAsia="华文楷体"/>
          <w:sz w:val="32"/>
          <w:szCs w:val="32"/>
        </w:rPr>
      </w:pPr>
      <w:r>
        <w:rPr>
          <w:rFonts w:hint="eastAsia" w:ascii="仿宋_GB2312" w:hAnsi="仿宋_GB2312" w:eastAsia="仿宋_GB2312" w:cs="仿宋_GB2312"/>
          <w:sz w:val="32"/>
          <w:szCs w:val="32"/>
        </w:rPr>
        <w:t>（三）</w:t>
      </w:r>
      <w:r>
        <w:rPr>
          <w:rFonts w:hint="eastAsia" w:ascii="华文楷体" w:hAnsi="华文楷体" w:eastAsia="华文楷体"/>
          <w:sz w:val="32"/>
          <w:szCs w:val="32"/>
        </w:rPr>
        <w:t>招标结果公示期</w:t>
      </w:r>
    </w:p>
    <w:p>
      <w:pPr>
        <w:spacing w:line="560" w:lineRule="exact"/>
        <w:ind w:firstLine="640"/>
        <w:rPr>
          <w:rFonts w:ascii="仿宋_GB2312" w:hAnsi="宋体" w:eastAsia="仿宋_GB2312"/>
          <w:sz w:val="32"/>
          <w:szCs w:val="32"/>
        </w:rPr>
      </w:pPr>
      <w:r>
        <w:rPr>
          <w:rFonts w:hint="eastAsia" w:ascii="仿宋_GB2312" w:hAnsi="宋体" w:eastAsia="仿宋_GB2312"/>
          <w:sz w:val="32"/>
          <w:szCs w:val="32"/>
        </w:rPr>
        <w:t>自采购开标当天之日起1天。</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十、联系方式</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（一）地址：昆明市西山区人民医院（昆明市西山区益宁路与西苑浦路交叉口西北侧）；</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（二）联系人：信息科/陈文辉；</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（三）联系电话：0871-68182721。</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十一、公告方式</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黑体" w:hAnsi="黑体" w:eastAsia="黑体" w:cs="黑体"/>
          <w:sz w:val="32"/>
          <w:szCs w:val="32"/>
        </w:rPr>
      </w:pPr>
      <w:r>
        <w:rPr>
          <w:rFonts w:hint="eastAsia" w:ascii="仿宋" w:hAnsi="仿宋" w:eastAsia="仿宋"/>
          <w:color w:val="000000" w:themeColor="text1"/>
          <w:sz w:val="32"/>
          <w:szCs w:val="32"/>
          <w14:textFill>
            <w14:solidFill>
              <w14:schemeClr w14:val="tx1"/>
            </w14:solidFill>
          </w14:textFill>
        </w:rPr>
        <w:t>十二、</w:t>
      </w:r>
      <w:r>
        <w:rPr>
          <w:rFonts w:ascii="黑体" w:hAnsi="黑体" w:eastAsia="黑体" w:cs="黑体"/>
          <w:sz w:val="32"/>
          <w:szCs w:val="32"/>
        </w:rPr>
        <w:t>公示期限</w:t>
      </w:r>
    </w:p>
    <w:p>
      <w:pPr>
        <w:spacing w:line="560" w:lineRule="exact"/>
        <w:ind w:firstLine="640"/>
        <w:rPr>
          <w:rFonts w:ascii="仿宋" w:hAnsi="仿宋" w:eastAsia="仿宋"/>
          <w:color w:val="000000" w:themeColor="text1"/>
          <w:sz w:val="32"/>
          <w:szCs w:val="32"/>
          <w14:textFill>
            <w14:solidFill>
              <w14:schemeClr w14:val="tx1"/>
            </w14:solidFill>
          </w14:textFill>
        </w:rPr>
      </w:pPr>
      <w:r>
        <w:rPr>
          <w:rFonts w:ascii="Times New Roman" w:hAnsi="Times New Roman" w:eastAsia="仿宋_GB2312"/>
          <w:sz w:val="32"/>
          <w:szCs w:val="32"/>
        </w:rPr>
        <w:t>自本公告发布之日起3个工作日</w:t>
      </w:r>
      <w:r>
        <w:rPr>
          <w:rFonts w:hint="eastAsia" w:ascii="Times New Roman" w:hAnsi="Times New Roman" w:eastAsia="仿宋_GB2312"/>
          <w:sz w:val="32"/>
          <w:szCs w:val="32"/>
        </w:rPr>
        <w:t>。</w:t>
      </w:r>
    </w:p>
    <w:p>
      <w:pPr>
        <w:spacing w:line="560" w:lineRule="exact"/>
        <w:ind w:firstLine="640"/>
        <w:rPr>
          <w:rFonts w:ascii="仿宋" w:hAnsi="仿宋" w:eastAsia="仿宋"/>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jc w:val="righ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昆明市西山区人民医院</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2023年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日</w:t>
      </w:r>
    </w:p>
    <w:p>
      <w:pPr>
        <w:ind w:firstLine="640"/>
        <w:rPr>
          <w:rFonts w:ascii="仿宋_GB2312" w:hAnsi="仿宋_GB2312" w:eastAsia="仿宋_GB2312" w:cs="仿宋_GB2312"/>
          <w:color w:val="000000" w:themeColor="text1"/>
          <w:sz w:val="32"/>
          <w:szCs w:val="32"/>
          <w14:textFill>
            <w14:solidFill>
              <w14:schemeClr w14:val="tx1"/>
            </w14:solidFill>
          </w14:textFill>
        </w:rPr>
      </w:pPr>
    </w:p>
    <w:p>
      <w:pPr>
        <w:ind w:firstLine="640"/>
        <w:rPr>
          <w:rFonts w:ascii="仿宋_GB2312" w:hAnsi="仿宋_GB2312" w:eastAsia="仿宋_GB2312" w:cs="仿宋_GB2312"/>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spacing w:after="100" w:afterAutospacing="1"/>
        <w:ind w:firstLine="0" w:firstLineChars="0"/>
        <w:rPr>
          <w:rFonts w:ascii="黑体" w:hAnsi="黑体" w:eastAsia="黑体"/>
          <w:b/>
          <w:sz w:val="32"/>
          <w:szCs w:val="32"/>
        </w:rPr>
      </w:pPr>
    </w:p>
    <w:p>
      <w:pPr>
        <w:spacing w:after="100" w:afterAutospacing="1"/>
        <w:ind w:firstLine="703"/>
        <w:jc w:val="center"/>
        <w:rPr>
          <w:rFonts w:cs="Calibri" w:asciiTheme="majorEastAsia" w:hAnsiTheme="majorEastAsia" w:eastAsiaTheme="majorEastAsia"/>
          <w:b/>
          <w:color w:val="000000" w:themeColor="text1"/>
          <w:sz w:val="35"/>
          <w:szCs w:val="35"/>
          <w14:textFill>
            <w14:solidFill>
              <w14:schemeClr w14:val="tx1"/>
            </w14:solidFill>
          </w14:textFill>
        </w:rPr>
      </w:pPr>
    </w:p>
    <w:p>
      <w:pPr>
        <w:ind w:firstLine="420"/>
      </w:pPr>
    </w:p>
    <w:p>
      <w:pPr>
        <w:ind w:left="0" w:leftChars="0" w:firstLine="0" w:firstLineChars="0"/>
        <w:rPr>
          <w:rFonts w:hint="eastAsia"/>
          <w:lang w:val="en-US" w:eastAsia="zh-CN"/>
        </w:rPr>
      </w:pPr>
    </w:p>
    <w:p>
      <w:pPr>
        <w:ind w:left="0" w:leftChars="0" w:firstLine="0" w:firstLineChars="0"/>
        <w:rPr>
          <w:rFonts w:hint="eastAsia"/>
          <w:sz w:val="28"/>
          <w:szCs w:val="28"/>
          <w:lang w:val="en-US" w:eastAsia="zh-CN"/>
        </w:rPr>
      </w:pPr>
      <w:r>
        <w:rPr>
          <w:rFonts w:hint="eastAsia"/>
          <w:sz w:val="28"/>
          <w:szCs w:val="28"/>
          <w:lang w:val="en-US" w:eastAsia="zh-CN"/>
        </w:rPr>
        <w:t>附件一</w:t>
      </w:r>
    </w:p>
    <w:p>
      <w:pPr>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临床路径审核上报系统项目</w:t>
      </w:r>
      <w:r>
        <w:rPr>
          <w:rFonts w:hint="eastAsia" w:ascii="宋体" w:hAnsi="宋体" w:cs="宋体"/>
          <w:b/>
          <w:bCs/>
          <w:sz w:val="32"/>
          <w:szCs w:val="32"/>
          <w:lang w:val="en-US" w:eastAsia="zh-CN"/>
        </w:rPr>
        <w:t>参数</w:t>
      </w:r>
    </w:p>
    <w:p>
      <w:pPr>
        <w:ind w:left="0" w:leftChars="0" w:firstLine="0" w:firstLineChars="0"/>
        <w:rPr>
          <w:rFonts w:hint="eastAsia" w:ascii="宋体" w:hAnsi="宋体" w:eastAsia="宋体" w:cs="宋体"/>
          <w:sz w:val="24"/>
          <w:szCs w:val="24"/>
          <w:lang w:val="en-US" w:eastAsia="zh-CN"/>
        </w:rPr>
      </w:pPr>
      <w:bookmarkStart w:id="0" w:name="_GoBack"/>
      <w:bookmarkEnd w:id="0"/>
    </w:p>
    <w:p>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一、项目名称</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临床路径上报审核系统</w:t>
      </w:r>
    </w:p>
    <w:p>
      <w:pPr>
        <w:numPr>
          <w:ilvl w:val="0"/>
          <w:numId w:val="1"/>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背景</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国家卫生健康委员会办公厅关于开展临床路径管理信息报送工作的通知（国卫办医政函〔2023〕159号），要求二级以上医疗机构报送数据至临床路径执行情况监测平台，一次性上报2021年至2023年6月份的数据，此后于每个季度第一个月填报上季度有关数据。</w:t>
      </w:r>
    </w:p>
    <w:p>
      <w:pPr>
        <w:numPr>
          <w:ilvl w:val="0"/>
          <w:numId w:val="1"/>
        </w:numPr>
        <w:ind w:left="0" w:leftChars="0" w:firstLine="0" w:firstLineChars="0"/>
        <w:rPr>
          <w:rFonts w:hint="eastAsia" w:ascii="宋体" w:hAnsi="宋体" w:eastAsia="宋体" w:cs="宋体"/>
          <w:sz w:val="28"/>
          <w:szCs w:val="28"/>
          <w:lang w:val="en-US" w:eastAsia="zh-CN"/>
        </w:rPr>
      </w:pPr>
      <w:r>
        <w:rPr>
          <w:rFonts w:hint="eastAsia" w:ascii="宋体" w:hAnsi="宋体" w:cs="宋体"/>
          <w:b/>
          <w:bCs/>
          <w:sz w:val="28"/>
          <w:szCs w:val="28"/>
          <w:lang w:val="en-US" w:eastAsia="zh-CN"/>
        </w:rPr>
        <w:t>需求</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安装上报审核系统完成国家卫健要求的临床路劲上报。系统支持医院临床路径审核及每个季度的数据上报。</w:t>
      </w:r>
    </w:p>
    <w:p>
      <w:pPr>
        <w:pStyle w:val="4"/>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四、系统功能</w:t>
      </w:r>
    </w:p>
    <w:tbl>
      <w:tblPr>
        <w:tblStyle w:val="9"/>
        <w:tblW w:w="9518" w:type="dxa"/>
        <w:tblInd w:w="-5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809"/>
        <w:gridCol w:w="5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0"/>
            <w:vAlign w:val="top"/>
          </w:tcPr>
          <w:p>
            <w:pPr>
              <w:pStyle w:val="7"/>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bCs/>
                <w:color w:val="000000"/>
                <w:sz w:val="28"/>
                <w:szCs w:val="28"/>
                <w:lang w:val="en-US" w:eastAsia="zh-CN"/>
              </w:rPr>
            </w:pPr>
            <w:r>
              <w:rPr>
                <w:rFonts w:hint="eastAsia" w:ascii="宋体" w:hAnsi="宋体" w:cs="宋体"/>
                <w:b/>
                <w:bCs/>
                <w:color w:val="000000"/>
                <w:sz w:val="28"/>
                <w:szCs w:val="28"/>
                <w:lang w:val="en-US" w:eastAsia="zh-CN"/>
              </w:rPr>
              <w:t>序号</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360" w:lineRule="exact"/>
              <w:ind w:left="0"/>
              <w:jc w:val="center"/>
              <w:textAlignment w:val="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项目名称</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360" w:lineRule="exact"/>
              <w:ind w:left="0"/>
              <w:jc w:val="center"/>
              <w:textAlignment w:val="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0"/>
            <w:vAlign w:val="top"/>
          </w:tcPr>
          <w:p>
            <w:pPr>
              <w:pStyle w:val="7"/>
              <w:keepNext w:val="0"/>
              <w:keepLines w:val="0"/>
              <w:pageBreakBefore w:val="0"/>
              <w:widowControl/>
              <w:numPr>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1</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临床路径文件上传</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接收公立医院绩效</w:t>
            </w:r>
            <w:r>
              <w:rPr>
                <w:rFonts w:hint="eastAsia" w:ascii="宋体" w:hAnsi="宋体" w:eastAsia="宋体" w:cs="宋体"/>
                <w:color w:val="000000"/>
                <w:sz w:val="24"/>
                <w:szCs w:val="24"/>
              </w:rPr>
              <w:t>考核格式</w:t>
            </w:r>
            <w:r>
              <w:rPr>
                <w:rFonts w:hint="eastAsia" w:ascii="宋体" w:hAnsi="宋体" w:eastAsia="宋体" w:cs="宋体"/>
                <w:sz w:val="24"/>
                <w:szCs w:val="24"/>
              </w:rPr>
              <w:t>首页数据文件，并对首页数据进行审核</w:t>
            </w: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0"/>
            <w:vAlign w:val="top"/>
          </w:tcPr>
          <w:p>
            <w:pPr>
              <w:pStyle w:val="7"/>
              <w:keepNext w:val="0"/>
              <w:keepLines w:val="0"/>
              <w:pageBreakBefore w:val="0"/>
              <w:widowControl/>
              <w:numPr>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2</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上传数据量查询</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查询上传病案数据量，审核结果汇总，错误病案明细。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0"/>
            <w:vAlign w:val="top"/>
          </w:tcPr>
          <w:p>
            <w:pPr>
              <w:pStyle w:val="7"/>
              <w:keepNext w:val="0"/>
              <w:keepLines w:val="0"/>
              <w:pageBreakBefore w:val="0"/>
              <w:widowControl/>
              <w:numPr>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临床路径分组</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可按出院日期范围，或对指定病案进行临床路径分组。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0"/>
            <w:vAlign w:val="top"/>
          </w:tcPr>
          <w:p>
            <w:pPr>
              <w:pStyle w:val="7"/>
              <w:keepNext w:val="0"/>
              <w:keepLines w:val="0"/>
              <w:pageBreakBefore w:val="0"/>
              <w:widowControl/>
              <w:numPr>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4</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全院临床路径执行分析</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查询医院临床路径入组、</w:t>
            </w:r>
            <w:r>
              <w:rPr>
                <w:rFonts w:hint="eastAsia" w:ascii="宋体" w:hAnsi="宋体" w:eastAsia="宋体" w:cs="宋体"/>
                <w:color w:val="000000"/>
                <w:sz w:val="24"/>
                <w:szCs w:val="24"/>
              </w:rPr>
              <w:t>出径</w:t>
            </w:r>
            <w:r>
              <w:rPr>
                <w:rFonts w:hint="eastAsia" w:ascii="宋体" w:hAnsi="宋体" w:eastAsia="宋体" w:cs="宋体"/>
                <w:sz w:val="24"/>
                <w:szCs w:val="24"/>
              </w:rPr>
              <w:t>、变异、完成情况。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0"/>
            <w:vAlign w:val="top"/>
          </w:tcPr>
          <w:p>
            <w:pPr>
              <w:pStyle w:val="7"/>
              <w:keepNext w:val="0"/>
              <w:keepLines w:val="0"/>
              <w:pageBreakBefore w:val="0"/>
              <w:widowControl/>
              <w:numPr>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5</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科室临床路径执行分析</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查询医院科室临床路径入组、</w:t>
            </w:r>
            <w:r>
              <w:rPr>
                <w:rFonts w:hint="eastAsia" w:ascii="宋体" w:hAnsi="宋体" w:eastAsia="宋体" w:cs="宋体"/>
                <w:color w:val="000000"/>
                <w:sz w:val="24"/>
                <w:szCs w:val="24"/>
              </w:rPr>
              <w:t>出径</w:t>
            </w:r>
            <w:r>
              <w:rPr>
                <w:rFonts w:hint="eastAsia" w:ascii="宋体" w:hAnsi="宋体" w:eastAsia="宋体" w:cs="宋体"/>
                <w:sz w:val="24"/>
                <w:szCs w:val="24"/>
              </w:rPr>
              <w:t>、变异、完成情况。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8" w:type="dxa"/>
            <w:noWrap w:val="0"/>
            <w:vAlign w:val="top"/>
          </w:tcPr>
          <w:p>
            <w:pPr>
              <w:pStyle w:val="7"/>
              <w:keepNext w:val="0"/>
              <w:keepLines w:val="0"/>
              <w:pageBreakBefore w:val="0"/>
              <w:widowControl/>
              <w:numPr>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6</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临床路径分析</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查询临床路径</w:t>
            </w:r>
            <w:r>
              <w:rPr>
                <w:rFonts w:hint="eastAsia" w:ascii="宋体" w:hAnsi="宋体" w:eastAsia="宋体" w:cs="宋体"/>
                <w:color w:val="000000"/>
                <w:sz w:val="24"/>
                <w:szCs w:val="24"/>
              </w:rPr>
              <w:t>组</w:t>
            </w:r>
            <w:r>
              <w:rPr>
                <w:rFonts w:hint="eastAsia" w:ascii="宋体" w:hAnsi="宋体" w:eastAsia="宋体" w:cs="宋体"/>
                <w:sz w:val="24"/>
                <w:szCs w:val="24"/>
              </w:rPr>
              <w:t>住院日、住院费用、</w:t>
            </w:r>
            <w:r>
              <w:rPr>
                <w:rFonts w:hint="eastAsia" w:ascii="宋体" w:hAnsi="宋体" w:eastAsia="宋体" w:cs="宋体"/>
                <w:color w:val="000000"/>
                <w:sz w:val="24"/>
                <w:szCs w:val="24"/>
              </w:rPr>
              <w:t>出径</w:t>
            </w:r>
            <w:r>
              <w:rPr>
                <w:rFonts w:hint="eastAsia" w:ascii="宋体" w:hAnsi="宋体" w:eastAsia="宋体" w:cs="宋体"/>
                <w:sz w:val="24"/>
                <w:szCs w:val="24"/>
              </w:rPr>
              <w:t>、变异、完成情况，以及入组病案明细。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trPr>
        <w:tc>
          <w:tcPr>
            <w:tcW w:w="818" w:type="dxa"/>
            <w:noWrap w:val="0"/>
            <w:vAlign w:val="top"/>
          </w:tcPr>
          <w:p>
            <w:pPr>
              <w:pStyle w:val="7"/>
              <w:keepNext w:val="0"/>
              <w:keepLines w:val="0"/>
              <w:pageBreakBefore w:val="0"/>
              <w:widowControl/>
              <w:numPr>
                <w:numId w:val="0"/>
              </w:numPr>
              <w:kinsoku/>
              <w:wordWrap/>
              <w:overflowPunct/>
              <w:topLinePunct w:val="0"/>
              <w:autoSpaceDE/>
              <w:autoSpaceDN/>
              <w:bidi w:val="0"/>
              <w:adjustRightInd/>
              <w:snapToGrid/>
              <w:spacing w:line="240" w:lineRule="auto"/>
              <w:ind w:leftChars="0"/>
              <w:textAlignment w:val="auto"/>
              <w:rPr>
                <w:rFonts w:hint="default" w:ascii="宋体" w:hAnsi="宋体" w:eastAsia="宋体" w:cs="宋体"/>
                <w:color w:val="000000"/>
                <w:sz w:val="24"/>
                <w:szCs w:val="24"/>
                <w:lang w:val="en-US"/>
              </w:rPr>
            </w:pPr>
            <w:r>
              <w:rPr>
                <w:rFonts w:hint="eastAsia" w:ascii="宋体" w:hAnsi="宋体" w:cs="宋体"/>
                <w:color w:val="000000"/>
                <w:sz w:val="24"/>
                <w:szCs w:val="24"/>
                <w:lang w:val="en-US" w:eastAsia="zh-CN"/>
              </w:rPr>
              <w:t>7</w:t>
            </w:r>
          </w:p>
        </w:tc>
        <w:tc>
          <w:tcPr>
            <w:tcW w:w="2809"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临床路径上传文件导出</w:t>
            </w:r>
          </w:p>
        </w:tc>
        <w:tc>
          <w:tcPr>
            <w:tcW w:w="5891" w:type="dxa"/>
            <w:noWrap w:val="0"/>
            <w:vAlign w:val="top"/>
          </w:tcPr>
          <w:p>
            <w:pPr>
              <w:pStyle w:val="7"/>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rPr>
              <w:t>按照临床路径文件上传要求，导出上报文件。</w:t>
            </w:r>
          </w:p>
        </w:tc>
      </w:tr>
    </w:tbl>
    <w:p>
      <w:pPr>
        <w:pStyle w:val="8"/>
        <w:rPr>
          <w:rFonts w:hint="eastAsia"/>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E630B"/>
    <w:multiLevelType w:val="singleLevel"/>
    <w:tmpl w:val="434E630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8F41FA"/>
    <w:rsid w:val="04F92E6C"/>
    <w:rsid w:val="168F4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0">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2">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3">
    <w:name w:val="Body Text Indent"/>
    <w:basedOn w:val="1"/>
    <w:semiHidden/>
    <w:unhideWhenUsed/>
    <w:qFormat/>
    <w:uiPriority w:val="99"/>
    <w:pPr>
      <w:spacing w:after="120"/>
      <w:ind w:left="420" w:leftChars="200"/>
    </w:pPr>
  </w:style>
  <w:style w:type="paragraph" w:styleId="4">
    <w:name w:val="Plain Text"/>
    <w:basedOn w:val="1"/>
    <w:qFormat/>
    <w:uiPriority w:val="0"/>
    <w:rPr>
      <w:rFonts w:ascii="宋体" w:hAnsi="Courier New" w:cs="Courier New"/>
      <w:szCs w:val="21"/>
    </w:rPr>
  </w:style>
  <w:style w:type="paragraph" w:styleId="5">
    <w:name w:val="footer"/>
    <w:basedOn w:val="1"/>
    <w:semiHidden/>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unhideWhenUsed/>
    <w:qFormat/>
    <w:uiPriority w:val="99"/>
    <w:rPr>
      <w:sz w:val="24"/>
    </w:rPr>
  </w:style>
  <w:style w:type="paragraph" w:styleId="8">
    <w:name w:val="Body Text First Indent 2"/>
    <w:basedOn w:val="3"/>
    <w:qFormat/>
    <w:uiPriority w:val="0"/>
    <w:pPr>
      <w:spacing w:after="0"/>
      <w:ind w:left="0" w:leftChars="0" w:firstLine="420" w:firstLineChars="200"/>
    </w:pPr>
    <w:rPr>
      <w:rFonts w:ascii="宋体" w:hAnsi="宋体"/>
      <w:sz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2023-12-09T06:36:00Z</dcterms:created>
  <dc:creator>Administrator</dc:creator>
  <cp:lastModifiedBy>向日葵上的年糕</cp:lastModifiedBy>
  <dcterms:modified xsi:type="dcterms:W3CDTF">2023-12-11T08:31:04Z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