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服务器等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项目询价函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我院拟对202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服务器等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项目进行邀请报价，诚邀符合条件并有意向的投标人参加报价。现将相关事项说明如下：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★备注：本次询价只作为市场咨询，并非最终结果，且不作为招投标参考。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（一）项目名称：202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服务器等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一台服务器、一台</w:t>
      </w:r>
      <w:r>
        <w:rPr>
          <w:rFonts w:hint="eastAsia" w:ascii="仿宋_GB2312" w:hAnsi="仿宋_GB2312" w:eastAsia="仿宋_GB2312"/>
          <w:color w:val="2B2B2B"/>
          <w:spacing w:val="-2"/>
          <w:sz w:val="32"/>
          <w:szCs w:val="32"/>
        </w:rPr>
        <w:t>VPN安全网关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pStyle w:val="2"/>
        <w:ind w:left="837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2B2B2B"/>
          <w:spacing w:val="-2"/>
          <w:sz w:val="32"/>
          <w:szCs w:val="32"/>
        </w:rPr>
        <w:t>一、服务器配置要求</w:t>
      </w:r>
    </w:p>
    <w:p>
      <w:pPr>
        <w:pStyle w:val="2"/>
        <w:ind w:left="833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545454"/>
          <w:spacing w:val="-1"/>
          <w:w w:val="110"/>
          <w:sz w:val="32"/>
          <w:szCs w:val="32"/>
        </w:rPr>
        <w:t>服务器软硬件运行配置的基本要求如下：</w:t>
      </w:r>
    </w:p>
    <w:p>
      <w:pPr>
        <w:pStyle w:val="2"/>
        <w:ind w:left="153" w:right="105" w:firstLine="717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545454"/>
          <w:spacing w:val="-2"/>
          <w:w w:val="110"/>
          <w:sz w:val="32"/>
          <w:szCs w:val="32"/>
        </w:rPr>
        <w:t>（一）CPU:采用国产自研CPU,物理核数≥32核；</w:t>
      </w:r>
    </w:p>
    <w:p>
      <w:pPr>
        <w:ind w:left="851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545454"/>
          <w:sz w:val="32"/>
          <w:szCs w:val="32"/>
        </w:rPr>
        <w:t>（二）内存：</w:t>
      </w:r>
      <w:r>
        <w:rPr>
          <w:rFonts w:ascii="仿宋_GB2312" w:hAnsi="仿宋_GB2312" w:eastAsia="仿宋_GB2312"/>
          <w:color w:val="545454"/>
          <w:spacing w:val="-2"/>
          <w:w w:val="110"/>
          <w:sz w:val="32"/>
          <w:szCs w:val="32"/>
        </w:rPr>
        <w:t>≥</w:t>
      </w:r>
      <w:r>
        <w:rPr>
          <w:rFonts w:ascii="仿宋_GB2312" w:hAnsi="仿宋_GB2312" w:eastAsia="仿宋_GB2312"/>
          <w:color w:val="545454"/>
          <w:sz w:val="32"/>
          <w:szCs w:val="32"/>
        </w:rPr>
        <w:t>128GB</w:t>
      </w:r>
      <w:r>
        <w:rPr>
          <w:rFonts w:ascii="仿宋_GB2312" w:hAnsi="仿宋_GB2312" w:eastAsia="仿宋_GB2312"/>
          <w:color w:val="545454"/>
          <w:spacing w:val="-2"/>
          <w:sz w:val="32"/>
          <w:szCs w:val="32"/>
        </w:rPr>
        <w:t>;</w:t>
      </w:r>
    </w:p>
    <w:p>
      <w:pPr>
        <w:pStyle w:val="2"/>
        <w:ind w:left="861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545454"/>
          <w:sz w:val="32"/>
          <w:szCs w:val="32"/>
        </w:rPr>
        <w:t>（三）存储空间：</w:t>
      </w:r>
      <w:r>
        <w:rPr>
          <w:rFonts w:ascii="仿宋_GB2312" w:hAnsi="仿宋_GB2312" w:eastAsia="仿宋_GB2312"/>
          <w:color w:val="545454"/>
          <w:spacing w:val="-2"/>
          <w:w w:val="110"/>
          <w:sz w:val="32"/>
          <w:szCs w:val="32"/>
        </w:rPr>
        <w:t>≥</w:t>
      </w:r>
      <w:r>
        <w:rPr>
          <w:rFonts w:hint="eastAsia" w:ascii="仿宋_GB2312" w:hAnsi="仿宋_GB2312" w:eastAsia="仿宋_GB2312"/>
          <w:color w:val="545454"/>
          <w:spacing w:val="-2"/>
          <w:w w:val="110"/>
          <w:sz w:val="32"/>
          <w:szCs w:val="32"/>
        </w:rPr>
        <w:t>1</w:t>
      </w:r>
      <w:r>
        <w:rPr>
          <w:rFonts w:ascii="仿宋_GB2312" w:hAnsi="仿宋_GB2312" w:eastAsia="仿宋_GB2312"/>
          <w:color w:val="545454"/>
          <w:sz w:val="32"/>
          <w:szCs w:val="32"/>
        </w:rPr>
        <w:t>T</w:t>
      </w:r>
      <w:r>
        <w:rPr>
          <w:rFonts w:ascii="仿宋_GB2312" w:hAnsi="仿宋_GB2312" w:eastAsia="仿宋_GB2312"/>
          <w:color w:val="545454"/>
          <w:spacing w:val="-1"/>
          <w:sz w:val="32"/>
          <w:szCs w:val="32"/>
        </w:rPr>
        <w:t>，存储介质类型：</w:t>
      </w:r>
      <w:r>
        <w:rPr>
          <w:rFonts w:ascii="仿宋_GB2312" w:hAnsi="仿宋_GB2312" w:eastAsia="仿宋_GB2312"/>
          <w:color w:val="545454"/>
          <w:spacing w:val="-2"/>
          <w:sz w:val="32"/>
          <w:szCs w:val="32"/>
        </w:rPr>
        <w:t>SSD;</w:t>
      </w:r>
    </w:p>
    <w:p>
      <w:pPr>
        <w:pStyle w:val="2"/>
        <w:ind w:left="851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545454"/>
          <w:w w:val="110"/>
          <w:sz w:val="32"/>
          <w:szCs w:val="32"/>
        </w:rPr>
        <w:t>（四）</w:t>
      </w:r>
      <w:r>
        <w:rPr>
          <w:rFonts w:ascii="仿宋_GB2312" w:hAnsi="仿宋_GB2312" w:eastAsia="仿宋_GB2312"/>
          <w:color w:val="545454"/>
          <w:spacing w:val="-1"/>
          <w:w w:val="110"/>
          <w:sz w:val="32"/>
          <w:szCs w:val="32"/>
        </w:rPr>
        <w:t>配置双网卡，方便连接院内网络环境和外部网络；</w:t>
      </w:r>
    </w:p>
    <w:p>
      <w:pPr>
        <w:pStyle w:val="2"/>
        <w:ind w:left="142" w:right="277" w:firstLine="699"/>
        <w:jc w:val="both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545454"/>
          <w:spacing w:val="2"/>
          <w:w w:val="108"/>
          <w:sz w:val="32"/>
          <w:szCs w:val="32"/>
        </w:rPr>
        <w:t>（五）</w:t>
      </w:r>
      <w:r>
        <w:rPr>
          <w:rFonts w:ascii="仿宋_GB2312" w:hAnsi="仿宋_GB2312" w:eastAsia="仿宋_GB2312"/>
          <w:color w:val="545454"/>
          <w:spacing w:val="1"/>
          <w:w w:val="108"/>
          <w:sz w:val="32"/>
          <w:szCs w:val="32"/>
        </w:rPr>
        <w:t>GPU</w:t>
      </w:r>
      <w:r>
        <w:rPr>
          <w:rFonts w:ascii="仿宋_GB2312" w:hAnsi="仿宋_GB2312" w:eastAsia="仿宋_GB2312"/>
          <w:color w:val="545454"/>
          <w:spacing w:val="2"/>
          <w:w w:val="108"/>
          <w:sz w:val="32"/>
          <w:szCs w:val="32"/>
        </w:rPr>
        <w:t>卡或</w:t>
      </w:r>
      <w:r>
        <w:rPr>
          <w:rFonts w:ascii="仿宋_GB2312" w:hAnsi="仿宋_GB2312" w:eastAsia="仿宋_GB2312"/>
          <w:color w:val="545454"/>
          <w:spacing w:val="1"/>
          <w:w w:val="108"/>
          <w:sz w:val="32"/>
          <w:szCs w:val="32"/>
        </w:rPr>
        <w:t>NPU</w:t>
      </w:r>
      <w:r>
        <w:rPr>
          <w:rFonts w:ascii="仿宋_GB2312" w:hAnsi="仿宋_GB2312" w:eastAsia="仿宋_GB2312"/>
          <w:color w:val="545454"/>
          <w:spacing w:val="2"/>
          <w:w w:val="108"/>
          <w:sz w:val="32"/>
          <w:szCs w:val="32"/>
        </w:rPr>
        <w:t>支持：可选配备</w:t>
      </w:r>
      <w:r>
        <w:rPr>
          <w:rFonts w:ascii="仿宋_GB2312" w:hAnsi="仿宋_GB2312" w:eastAsia="仿宋_GB2312"/>
          <w:color w:val="545454"/>
          <w:spacing w:val="1"/>
          <w:w w:val="108"/>
          <w:sz w:val="32"/>
          <w:szCs w:val="32"/>
        </w:rPr>
        <w:t>GPU</w:t>
      </w:r>
      <w:r>
        <w:rPr>
          <w:rFonts w:ascii="仿宋_GB2312" w:hAnsi="仿宋_GB2312" w:eastAsia="仿宋_GB2312"/>
          <w:color w:val="545454"/>
          <w:spacing w:val="2"/>
          <w:w w:val="108"/>
          <w:sz w:val="32"/>
          <w:szCs w:val="32"/>
        </w:rPr>
        <w:t>或</w:t>
      </w:r>
      <w:r>
        <w:rPr>
          <w:rFonts w:ascii="仿宋_GB2312" w:hAnsi="仿宋_GB2312" w:eastAsia="仿宋_GB2312"/>
          <w:color w:val="545454"/>
          <w:spacing w:val="1"/>
          <w:w w:val="108"/>
          <w:sz w:val="32"/>
          <w:szCs w:val="32"/>
        </w:rPr>
        <w:t>NPU卡</w:t>
      </w:r>
      <w:r>
        <w:rPr>
          <w:rFonts w:ascii="仿宋_GB2312" w:hAnsi="仿宋_GB2312" w:eastAsia="仿宋_GB2312"/>
          <w:color w:val="545454"/>
          <w:w w:val="108"/>
          <w:sz w:val="32"/>
          <w:szCs w:val="32"/>
        </w:rPr>
        <w:t>；</w:t>
      </w:r>
    </w:p>
    <w:p>
      <w:pPr>
        <w:pStyle w:val="2"/>
        <w:ind w:left="114" w:right="236" w:firstLine="708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color w:val="545454"/>
          <w:spacing w:val="-2"/>
          <w:w w:val="110"/>
          <w:sz w:val="32"/>
          <w:szCs w:val="32"/>
        </w:rPr>
        <w:t>（六）操作系统：使用麒麟、欧拉、统信等国产操作系统的服务器版；</w:t>
      </w:r>
    </w:p>
    <w:p>
      <w:pPr>
        <w:ind w:left="338" w:firstLine="514" w:firstLineChars="153"/>
        <w:jc w:val="both"/>
        <w:rPr>
          <w:rFonts w:hint="eastAsia" w:ascii="仿宋_GB2312" w:eastAsia="仿宋_GB2312"/>
          <w:sz w:val="32"/>
        </w:rPr>
      </w:pPr>
      <w:r>
        <w:rPr>
          <w:rFonts w:hint="eastAsia" w:ascii="仿宋_GB2312" w:hAnsi="仿宋_GB2312" w:eastAsia="仿宋_GB2312"/>
          <w:color w:val="545454"/>
          <w:w w:val="105"/>
          <w:sz w:val="32"/>
          <w:szCs w:val="32"/>
        </w:rPr>
        <w:t>（</w:t>
      </w:r>
      <w:r>
        <w:rPr>
          <w:rFonts w:ascii="仿宋_GB2312" w:hAnsi="仿宋_GB2312" w:eastAsia="仿宋_GB2312"/>
          <w:color w:val="545454"/>
          <w:w w:val="105"/>
          <w:sz w:val="32"/>
          <w:szCs w:val="32"/>
        </w:rPr>
        <w:t>七）数据库支持：前置软件统一配备了</w:t>
      </w:r>
      <w:r>
        <w:rPr>
          <w:rFonts w:hint="eastAsia" w:ascii="仿宋_GB2312" w:hAnsi="仿宋_GB2312" w:eastAsia="仿宋_GB2312"/>
          <w:color w:val="545454"/>
          <w:w w:val="105"/>
          <w:sz w:val="32"/>
          <w:szCs w:val="32"/>
        </w:rPr>
        <w:t>OpenGauss</w:t>
      </w:r>
      <w:r>
        <w:rPr>
          <w:rFonts w:ascii="仿宋_GB2312" w:hAnsi="仿宋_GB2312" w:eastAsia="仿宋_GB2312"/>
          <w:color w:val="545454"/>
          <w:spacing w:val="-4"/>
          <w:w w:val="105"/>
          <w:sz w:val="32"/>
          <w:szCs w:val="32"/>
        </w:rPr>
        <w:t>或同等</w:t>
      </w:r>
      <w:r>
        <w:rPr>
          <w:rFonts w:hint="eastAsia" w:ascii="仿宋_GB2312" w:eastAsia="仿宋_GB2312"/>
          <w:color w:val="646467"/>
          <w:w w:val="90"/>
          <w:sz w:val="32"/>
        </w:rPr>
        <w:t>架构的数据库，</w:t>
      </w:r>
      <w:r>
        <w:rPr>
          <w:rFonts w:hint="eastAsia" w:ascii="仿宋_GB2312" w:eastAsia="仿宋_GB2312"/>
          <w:color w:val="646467"/>
          <w:spacing w:val="-1"/>
          <w:w w:val="90"/>
          <w:sz w:val="32"/>
        </w:rPr>
        <w:t>服务器需支持运行此架构数据库。</w:t>
      </w:r>
    </w:p>
    <w:p>
      <w:pPr>
        <w:pStyle w:val="2"/>
        <w:ind w:left="837"/>
        <w:rPr>
          <w:rFonts w:ascii="仿宋_GB2312" w:hAnsi="仿宋_GB2312" w:eastAsia="仿宋_GB2312"/>
          <w:color w:val="2B2B2B"/>
          <w:spacing w:val="-2"/>
          <w:sz w:val="32"/>
          <w:szCs w:val="32"/>
        </w:rPr>
      </w:pPr>
    </w:p>
    <w:p>
      <w:pPr>
        <w:pStyle w:val="2"/>
        <w:ind w:left="837"/>
        <w:rPr>
          <w:rFonts w:hint="eastAsia" w:ascii="仿宋_GB2312" w:hAnsi="仿宋_GB2312" w:eastAsia="仿宋_GB2312"/>
          <w:color w:val="2B2B2B"/>
          <w:spacing w:val="-2"/>
          <w:sz w:val="32"/>
          <w:szCs w:val="32"/>
        </w:rPr>
      </w:pPr>
      <w:r>
        <w:rPr>
          <w:rFonts w:hint="eastAsia" w:ascii="仿宋_GB2312" w:hAnsi="仿宋_GB2312" w:eastAsia="仿宋_GB2312"/>
          <w:color w:val="2B2B2B"/>
          <w:spacing w:val="-2"/>
          <w:sz w:val="32"/>
          <w:szCs w:val="32"/>
        </w:rPr>
        <w:t>二</w:t>
      </w:r>
      <w:r>
        <w:rPr>
          <w:rFonts w:ascii="仿宋_GB2312" w:hAnsi="仿宋_GB2312" w:eastAsia="仿宋_GB2312"/>
          <w:color w:val="2B2B2B"/>
          <w:spacing w:val="-2"/>
          <w:sz w:val="32"/>
          <w:szCs w:val="32"/>
        </w:rPr>
        <w:t>、</w:t>
      </w:r>
      <w:r>
        <w:rPr>
          <w:rFonts w:hint="eastAsia" w:ascii="仿宋_GB2312" w:hAnsi="仿宋_GB2312" w:eastAsia="仿宋_GB2312"/>
          <w:color w:val="2B2B2B"/>
          <w:spacing w:val="-2"/>
          <w:sz w:val="32"/>
          <w:szCs w:val="32"/>
        </w:rPr>
        <w:t>VPN安全网关系统配置要求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、基于国产化CPU和国产化操作系统；标准机架式机箱、标配8个千兆电口，4个千兆光口、2个扩展插槽；标配硬件密码卡，支持SM1、SM2、SM3、SM4算法，具有密钥协商、身份认证、IPSec隧道加密、零配置上线等功能，提供三年硬件质保。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2、吞吐量≥8Gbps；IPSec吞吐量（国密算法）≥300Mbps；每秒新建连接数≥6万；并发连接数≥300万；默认支持隧道数2000。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3、支持路由、透明、交换以及混合模式接入，复杂应用环境的接入需求。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4、支持双系统备份，且在系统切换中可实现配置的自动迁移；可记录不同时间点的历史配置文件，最大支持记录三份不同时间点的历史配置文件，并支持切换历史配置。（提供设备功能截图）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5、支持静态路由、策略路由及动态路由。策略路由支持用户自定义其优先级，动态路由应至少支持 RIP v1/v2/ng，SPFv2/v3，BGP4/4+协议。（提供设备功能截图）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6、支持全面的 NAT 转换配置，包括包括一对一，一对多，多对一的源、目的地址转换，并至少支持 FULL_CONE模式和 SyMMETRIC 模式。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7、支持 DDNS 功能，支持 Oray 向日葵、PubyuN 公云、Noip、ChaNgeip 提供的 DDNS 服务，将动态获取的 IP 地址映射为固定的域名。（提供设备功能截图）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8、支持 IPv6 下静态路由及策略路由、动态路由，动态路由应包括 RIPng、OSPFv3、BGP4+。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9、支持基于源安全域、目的安全域、源用户、源地址、源地区、目的地址、目的地区、服务、应用、隧道、时间、VLAN 等多种方式进行访问控制，并支持地理区域对象的导入以及重复策略的检查。支持基于安全区域的异常包攻击防御，异常包攻击类型至少包括 PiNg of Death、Teardrop、IP 选项、TCP异常、Smurf、Fraggle、LaNd、WiNNuke、DNS 异常、IP 分片等；并可在设备页面显示每种攻击类型的丢包统计结果。（提供设备功能截图）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10、支持 L2TP、支持 L2TP over IPSec、支持 PPTP，并 支 持 本 地 认 证 以 及 LDAP/Radius/ 证 书 /Active Directory/TACACS+/POP3 等第三方用户认证系统。支持客户端地址分配。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11、支持主流加密算法，包含国际算法 DES/3DES/AES-128/AES-256、国密算法 SM1/SM2/SM4；支持主流验证算法，包含国际算法 MD5/SHA1/SHA-256、国密算法 SM3；支持独立的硬件加密卡。（提供设备功能截图）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12、支持 IPSec VPN 的主模式（Main Mode）、积极模式（Aggressive Mode）、国密三种协商模式建立的网关-网关加密隧道；国密协商模式经国家密码管理局核准。（提供设备功能截图）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13、web 页面必须内置抓包工具，并可通过表达式方便灵活的指定抓包过滤条件。（提供设备功能截图）</w:t>
      </w:r>
    </w:p>
    <w:p>
      <w:pPr>
        <w:ind w:left="315" w:right="100" w:firstLine="665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14、产品需具备《计算机软件著作权登记证书》，提供证书复印件证明。</w:t>
      </w:r>
    </w:p>
    <w:p>
      <w:pPr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w:t>15、产品生产商需具备中国信息安全测评中心颁发的《信息安全服务资质证书》（安全工程类三级）、ISO22301业务连续性管理体系认证证书，提供证书复印件证明。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、询价函发布时间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、报价函投递要求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（一）收取地点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</w:t>
      </w:r>
      <w:r>
        <w:rPr>
          <w:rFonts w:hint="eastAsia" w:ascii="仿宋_GB2312" w:hAnsi="仿宋_GB2312" w:eastAsia="仿宋_GB2312" w:cs="仿宋_GB2312"/>
          <w:sz w:val="32"/>
          <w:szCs w:val="32"/>
        </w:rPr>
        <w:t>4楼信息科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4028室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（二）截止时间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日16:00（北京时间），上午8:30-11:30，下午13:30-17:00，逾期收到或不符合规定的文件将被拒绝。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（三）咨询电话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0871－68182721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（四）联系人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陈老师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五、报价函材料要求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（一）营业执照、税务登记证、事业单位法人证书及开户行信息复印件并加盖单位鲜章；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（二）公司法定代表人证明书及报名人授权委托书原件；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（三）公司法定代表人及报名人身份证复印件；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（四）报价表（详见附件）；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（六）联系人及联系电话。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六、发布公告媒介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昆明市西山区人民医院官网：www.xsqrmyy.net。</w:t>
      </w:r>
    </w:p>
    <w:p>
      <w:pPr>
        <w:spacing w:line="560" w:lineRule="exact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>
      <w:pPr>
        <w:spacing w:line="56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/>
    <w:p/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84D75"/>
    <w:rsid w:val="4C6466DE"/>
    <w:rsid w:val="6C884D75"/>
    <w:rsid w:val="7D3C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9"/>
      <w:szCs w:val="2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2024-05-20T07:35:00Z</dcterms:created>
  <dc:creator>Administrator</dc:creator>
  <cp:lastModifiedBy>企业用户_621564530</cp:lastModifiedBy>
  <dcterms:modified xsi:type="dcterms:W3CDTF">2024-05-20T08:34:15Z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73F63235992F4D748FF8ADD17FCE3913_13</vt:lpwstr>
  </property>
</Properties>
</file>