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10"/>
        <w:gridCol w:w="4005"/>
        <w:gridCol w:w="3195"/>
        <w:gridCol w:w="3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院内供水管网漏点维修项目（院内议价）</w:t>
            </w:r>
          </w:p>
        </w:tc>
        <w:tc>
          <w:tcPr>
            <w:tcW w:w="4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云南名派装饰设计工程有限公司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在原报价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的基础上下浮2%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以实际维修情况进行结算。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1个工作日（2024年5月27日）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1944DA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0B31E99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365341D"/>
    <w:rsid w:val="5550540F"/>
    <w:rsid w:val="56A67398"/>
    <w:rsid w:val="56DA2D74"/>
    <w:rsid w:val="56FE3757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5EA30896"/>
    <w:rsid w:val="606B2894"/>
    <w:rsid w:val="61411BC7"/>
    <w:rsid w:val="624F25D8"/>
    <w:rsid w:val="633D4FC9"/>
    <w:rsid w:val="63585120"/>
    <w:rsid w:val="638F44E0"/>
    <w:rsid w:val="64D5173B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20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2024-05-24T08:19:56Z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