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center"/>
        <w:rPr>
          <w:rFonts w:hint="eastAsia"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昆明市西山区人民医院</w:t>
      </w:r>
    </w:p>
    <w:p>
      <w:pPr>
        <w:spacing w:line="560" w:lineRule="exact"/>
        <w:ind w:firstLine="0" w:firstLineChars="0"/>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急诊内科床旁POCT检测仪采购项目</w:t>
      </w:r>
    </w:p>
    <w:p>
      <w:pPr>
        <w:spacing w:line="560" w:lineRule="exact"/>
        <w:ind w:firstLine="0" w:firstLineChars="0"/>
        <w:jc w:val="center"/>
        <w:rPr>
          <w:rFonts w:hint="eastAsia"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比选公告</w:t>
      </w:r>
    </w:p>
    <w:p>
      <w:pPr>
        <w:spacing w:line="560" w:lineRule="exact"/>
        <w:ind w:firstLine="0" w:firstLineChars="0"/>
        <w:jc w:val="center"/>
        <w:rPr>
          <w:rFonts w:ascii="方正小标宋简体" w:hAnsi="方正小标宋简体" w:eastAsia="方正小标宋简体" w:cs="方正小标宋简体"/>
          <w:bCs/>
          <w:color w:val="000000" w:themeColor="text1"/>
          <w:sz w:val="44"/>
          <w:szCs w:val="44"/>
        </w:rPr>
      </w:pPr>
    </w:p>
    <w:p>
      <w:pPr>
        <w:numPr>
          <w:ilvl w:val="0"/>
          <w:numId w:val="0"/>
        </w:numPr>
        <w:spacing w:line="560" w:lineRule="exact"/>
        <w:ind w:firstLine="600" w:firstLineChars="200"/>
        <w:jc w:val="left"/>
        <w:rPr>
          <w:rFonts w:hint="eastAsia" w:ascii="黑体" w:hAnsi="黑体" w:eastAsia="黑体"/>
          <w:color w:val="000000" w:themeColor="text1"/>
          <w:sz w:val="30"/>
          <w:szCs w:val="30"/>
        </w:rPr>
      </w:pPr>
      <w:r>
        <w:rPr>
          <w:rFonts w:hint="eastAsia" w:ascii="黑体" w:hAnsi="黑体" w:eastAsia="黑体"/>
          <w:color w:val="000000" w:themeColor="text1"/>
          <w:sz w:val="30"/>
          <w:szCs w:val="30"/>
          <w:lang w:eastAsia="zh-CN"/>
        </w:rPr>
        <w:t>一、</w:t>
      </w:r>
      <w:r>
        <w:rPr>
          <w:rFonts w:hint="eastAsia" w:ascii="黑体" w:hAnsi="黑体" w:eastAsia="黑体"/>
          <w:color w:val="000000" w:themeColor="text1"/>
          <w:sz w:val="30"/>
          <w:szCs w:val="30"/>
        </w:rPr>
        <w:t>项目名称</w:t>
      </w:r>
    </w:p>
    <w:p>
      <w:pPr>
        <w:numPr>
          <w:ilvl w:val="0"/>
          <w:numId w:val="0"/>
        </w:numPr>
        <w:spacing w:line="560" w:lineRule="exact"/>
        <w:ind w:firstLine="600" w:firstLineChars="200"/>
        <w:jc w:val="left"/>
        <w:rPr>
          <w:rFonts w:ascii="仿宋_GB2312" w:hAnsi="仿宋" w:eastAsia="仿宋_GB2312" w:cs="仿宋"/>
          <w:bCs/>
          <w:sz w:val="30"/>
          <w:szCs w:val="30"/>
        </w:rPr>
      </w:pPr>
      <w:r>
        <w:rPr>
          <w:rFonts w:hint="eastAsia" w:ascii="仿宋_GB2312" w:eastAsia="仿宋_GB2312" w:hAnsiTheme="majorEastAsia"/>
          <w:bCs/>
          <w:sz w:val="30"/>
          <w:szCs w:val="30"/>
        </w:rPr>
        <w:t>急诊内科床旁POCT检测仪采购（比选）</w:t>
      </w:r>
    </w:p>
    <w:p>
      <w:pPr>
        <w:spacing w:line="560" w:lineRule="exact"/>
        <w:ind w:firstLine="600"/>
        <w:jc w:val="left"/>
        <w:rPr>
          <w:rFonts w:ascii="黑体" w:hAnsi="黑体" w:eastAsia="黑体" w:cs="黑体"/>
          <w:sz w:val="30"/>
          <w:szCs w:val="30"/>
        </w:rPr>
      </w:pPr>
      <w:r>
        <w:rPr>
          <w:rFonts w:ascii="黑体" w:hAnsi="黑体" w:eastAsia="黑体" w:cs="黑体"/>
          <w:sz w:val="30"/>
          <w:szCs w:val="30"/>
        </w:rPr>
        <w:t>二、采购方</w:t>
      </w:r>
      <w:r>
        <w:rPr>
          <w:rFonts w:hint="eastAsia" w:ascii="黑体" w:hAnsi="黑体" w:eastAsia="黑体" w:cs="黑体"/>
          <w:sz w:val="30"/>
          <w:szCs w:val="30"/>
        </w:rPr>
        <w:t>、采购时间及地点</w:t>
      </w:r>
    </w:p>
    <w:p>
      <w:pPr>
        <w:spacing w:line="560" w:lineRule="exact"/>
        <w:ind w:firstLine="600"/>
        <w:jc w:val="left"/>
        <w:rPr>
          <w:rFonts w:ascii="仿宋_GB2312" w:hAnsi="Times New Roman" w:eastAsia="仿宋_GB2312"/>
          <w:color w:val="000000" w:themeColor="text1"/>
          <w:sz w:val="30"/>
          <w:szCs w:val="30"/>
        </w:rPr>
      </w:pPr>
      <w:r>
        <w:rPr>
          <w:rFonts w:hint="eastAsia" w:ascii="仿宋_GB2312" w:hAnsi="仿宋_GB2312" w:eastAsia="仿宋_GB2312" w:cs="仿宋_GB2312"/>
          <w:color w:val="000000" w:themeColor="text1"/>
          <w:sz w:val="30"/>
          <w:szCs w:val="30"/>
        </w:rPr>
        <w:t>采购方：</w:t>
      </w:r>
      <w:r>
        <w:rPr>
          <w:rFonts w:hint="eastAsia" w:ascii="仿宋_GB2312" w:hAnsi="Times New Roman" w:eastAsia="仿宋_GB2312"/>
          <w:color w:val="000000" w:themeColor="text1"/>
          <w:sz w:val="30"/>
          <w:szCs w:val="30"/>
        </w:rPr>
        <w:t>昆明市西山区人民医院；</w:t>
      </w:r>
    </w:p>
    <w:p>
      <w:pPr>
        <w:spacing w:line="560" w:lineRule="exact"/>
        <w:ind w:firstLine="600"/>
        <w:jc w:val="left"/>
        <w:rPr>
          <w:rFonts w:ascii="仿宋_GB2312" w:hAnsi="Times New Roman" w:eastAsia="仿宋_GB2312"/>
          <w:color w:val="000000" w:themeColor="text1"/>
          <w:sz w:val="30"/>
          <w:szCs w:val="30"/>
        </w:rPr>
      </w:pPr>
      <w:r>
        <w:rPr>
          <w:rFonts w:hint="eastAsia" w:ascii="仿宋_GB2312" w:hAnsi="Times New Roman" w:eastAsia="仿宋_GB2312"/>
          <w:color w:val="000000" w:themeColor="text1"/>
          <w:sz w:val="30"/>
          <w:szCs w:val="30"/>
          <w:lang w:eastAsia="zh-CN"/>
        </w:rPr>
        <w:t>开标</w:t>
      </w:r>
      <w:r>
        <w:rPr>
          <w:rFonts w:hint="eastAsia" w:ascii="仿宋_GB2312" w:hAnsi="Times New Roman" w:eastAsia="仿宋_GB2312"/>
          <w:color w:val="000000" w:themeColor="text1"/>
          <w:sz w:val="30"/>
          <w:szCs w:val="30"/>
        </w:rPr>
        <w:t>时间：</w:t>
      </w:r>
      <w:r>
        <w:rPr>
          <w:rFonts w:hint="eastAsia" w:ascii="仿宋_GB2312" w:hAnsi="Times New Roman" w:eastAsia="仿宋_GB2312"/>
          <w:sz w:val="30"/>
          <w:szCs w:val="30"/>
        </w:rPr>
        <w:t>2024年5日</w:t>
      </w:r>
      <w:r>
        <w:rPr>
          <w:rFonts w:hint="eastAsia" w:ascii="仿宋_GB2312" w:hAnsi="Times New Roman" w:eastAsia="仿宋_GB2312"/>
          <w:sz w:val="30"/>
          <w:szCs w:val="30"/>
          <w:lang w:val="en-US" w:eastAsia="zh-CN"/>
        </w:rPr>
        <w:t>30</w:t>
      </w:r>
      <w:bookmarkStart w:id="0" w:name="_GoBack"/>
      <w:bookmarkEnd w:id="0"/>
      <w:r>
        <w:rPr>
          <w:rFonts w:hint="eastAsia" w:ascii="仿宋_GB2312" w:hAnsi="Times New Roman" w:eastAsia="仿宋_GB2312"/>
          <w:sz w:val="30"/>
          <w:szCs w:val="30"/>
        </w:rPr>
        <w:t>日上午10时；</w:t>
      </w:r>
    </w:p>
    <w:p>
      <w:pPr>
        <w:spacing w:line="560" w:lineRule="exact"/>
        <w:ind w:firstLine="600"/>
        <w:jc w:val="left"/>
        <w:rPr>
          <w:rFonts w:ascii="仿宋_GB2312" w:hAnsi="Times New Roman" w:eastAsia="仿宋_GB2312"/>
          <w:color w:val="000000" w:themeColor="text1"/>
          <w:sz w:val="30"/>
          <w:szCs w:val="30"/>
          <w:highlight w:val="yellow"/>
        </w:rPr>
      </w:pPr>
      <w:r>
        <w:rPr>
          <w:rFonts w:hint="eastAsia" w:ascii="仿宋_GB2312" w:hAnsi="Times New Roman" w:eastAsia="仿宋_GB2312"/>
          <w:color w:val="000000" w:themeColor="text1"/>
          <w:sz w:val="30"/>
          <w:szCs w:val="30"/>
          <w:lang w:eastAsia="zh-CN"/>
        </w:rPr>
        <w:t>开标</w:t>
      </w:r>
      <w:r>
        <w:rPr>
          <w:rFonts w:hint="eastAsia" w:ascii="仿宋_GB2312" w:hAnsi="Times New Roman" w:eastAsia="仿宋_GB2312"/>
          <w:color w:val="000000" w:themeColor="text1"/>
          <w:sz w:val="30"/>
          <w:szCs w:val="30"/>
        </w:rPr>
        <w:t>地点：昆明市西山区人民医院5楼多媒体教室；</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投标人投标流程：凡符合条件并有意向的供应商可携带相关资质及报价文件，</w:t>
      </w:r>
      <w:r>
        <w:rPr>
          <w:rFonts w:hint="eastAsia" w:ascii="仿宋_GB2312" w:hAnsi="仿宋_GB2312" w:eastAsia="仿宋_GB2312" w:cs="仿宋_GB2312"/>
          <w:sz w:val="30"/>
          <w:szCs w:val="30"/>
          <w:lang w:eastAsia="zh-CN"/>
        </w:rPr>
        <w:t>请</w:t>
      </w:r>
      <w:r>
        <w:rPr>
          <w:rFonts w:hint="eastAsia" w:ascii="仿宋_GB2312" w:hAnsi="仿宋_GB2312" w:eastAsia="仿宋_GB2312" w:cs="仿宋_GB2312"/>
          <w:sz w:val="30"/>
          <w:szCs w:val="30"/>
        </w:rPr>
        <w:t>于2024年5月30日9:55之前，将投标文件交到党政综合办公室</w:t>
      </w:r>
      <w:r>
        <w:rPr>
          <w:rFonts w:hint="eastAsia" w:ascii="仿宋_GB2312" w:hAnsi="仿宋_GB2312" w:eastAsia="仿宋_GB2312" w:cs="仿宋_GB2312"/>
          <w:sz w:val="30"/>
          <w:szCs w:val="30"/>
          <w:lang w:eastAsia="zh-CN"/>
        </w:rPr>
        <w:t>（四楼</w:t>
      </w:r>
      <w:r>
        <w:rPr>
          <w:rFonts w:hint="eastAsia" w:ascii="仿宋_GB2312" w:hAnsi="仿宋_GB2312" w:eastAsia="仿宋_GB2312" w:cs="仿宋_GB2312"/>
          <w:sz w:val="30"/>
          <w:szCs w:val="30"/>
          <w:lang w:val="en-US" w:eastAsia="zh-CN"/>
        </w:rPr>
        <w:t>4031室</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。逾期未送达指定地点的投标文件，招标小组工作人员不予受理。</w:t>
      </w:r>
    </w:p>
    <w:p>
      <w:pPr>
        <w:spacing w:line="560" w:lineRule="exact"/>
        <w:ind w:firstLine="636" w:firstLineChars="212"/>
        <w:rPr>
          <w:rFonts w:ascii="黑体" w:hAnsi="黑体" w:eastAsia="黑体"/>
          <w:sz w:val="30"/>
          <w:szCs w:val="30"/>
        </w:rPr>
      </w:pPr>
      <w:r>
        <w:rPr>
          <w:rFonts w:hint="eastAsia" w:ascii="黑体" w:hAnsi="黑体" w:eastAsia="黑体"/>
          <w:sz w:val="30"/>
          <w:szCs w:val="30"/>
        </w:rPr>
        <w:t>三、技术参数及要求</w:t>
      </w:r>
    </w:p>
    <w:p>
      <w:pPr>
        <w:spacing w:line="560" w:lineRule="exact"/>
        <w:ind w:firstLine="600"/>
        <w:rPr>
          <w:rFonts w:hint="eastAsia" w:ascii="仿宋_GB2312" w:hAnsi="仿宋" w:eastAsia="仿宋_GB2312"/>
          <w:sz w:val="30"/>
          <w:szCs w:val="30"/>
        </w:rPr>
      </w:pPr>
      <w:r>
        <w:rPr>
          <w:rFonts w:hint="eastAsia" w:ascii="仿宋_GB2312" w:hAnsi="仿宋" w:eastAsia="仿宋_GB2312"/>
          <w:sz w:val="30"/>
          <w:szCs w:val="30"/>
        </w:rPr>
        <w:t>1</w:t>
      </w:r>
      <w:r>
        <w:rPr>
          <w:rFonts w:hint="eastAsia" w:ascii="仿宋_GB2312" w:hAnsi="仿宋" w:eastAsia="仿宋_GB2312"/>
          <w:sz w:val="30"/>
          <w:szCs w:val="30"/>
          <w:lang w:val="en-US" w:eastAsia="zh-CN"/>
        </w:rPr>
        <w:t>.</w:t>
      </w:r>
      <w:r>
        <w:rPr>
          <w:rFonts w:hint="eastAsia" w:ascii="仿宋_GB2312" w:hAnsi="仿宋" w:eastAsia="仿宋_GB2312"/>
          <w:sz w:val="30"/>
          <w:szCs w:val="30"/>
        </w:rPr>
        <w:t>技术参数详见附件；</w:t>
      </w:r>
    </w:p>
    <w:p>
      <w:pPr>
        <w:spacing w:line="560" w:lineRule="exact"/>
        <w:ind w:firstLine="600"/>
        <w:rPr>
          <w:rFonts w:ascii="仿宋_GB2312" w:hAnsi="黑体" w:eastAsia="仿宋_GB2312"/>
          <w:sz w:val="30"/>
          <w:szCs w:val="30"/>
        </w:rPr>
      </w:pPr>
      <w:r>
        <w:rPr>
          <w:rFonts w:hint="eastAsia" w:ascii="仿宋_GB2312" w:hAnsi="仿宋" w:eastAsia="仿宋_GB2312"/>
          <w:sz w:val="30"/>
          <w:szCs w:val="30"/>
        </w:rPr>
        <w:t>2</w:t>
      </w:r>
      <w:r>
        <w:rPr>
          <w:rFonts w:hint="eastAsia" w:ascii="仿宋_GB2312" w:hAnsi="仿宋" w:eastAsia="仿宋_GB2312"/>
          <w:sz w:val="30"/>
          <w:szCs w:val="30"/>
          <w:lang w:val="en-US" w:eastAsia="zh-CN"/>
        </w:rPr>
        <w:t>.</w:t>
      </w:r>
      <w:r>
        <w:rPr>
          <w:rFonts w:hint="eastAsia" w:ascii="仿宋_GB2312" w:eastAsia="仿宋_GB2312" w:hAnsiTheme="majorEastAsia"/>
          <w:bCs/>
          <w:sz w:val="30"/>
          <w:szCs w:val="30"/>
        </w:rPr>
        <w:t>床旁POCT检测仪</w:t>
      </w:r>
      <w:r>
        <w:rPr>
          <w:rFonts w:hint="eastAsia" w:ascii="仿宋_GB2312" w:hAnsi="仿宋" w:eastAsia="仿宋_GB2312"/>
          <w:sz w:val="30"/>
          <w:szCs w:val="30"/>
        </w:rPr>
        <w:t>设备检验值必须达到云南省临床检验中心室间质评要求。</w:t>
      </w:r>
    </w:p>
    <w:p>
      <w:pPr>
        <w:spacing w:line="560" w:lineRule="exact"/>
        <w:ind w:firstLine="600"/>
        <w:rPr>
          <w:rFonts w:ascii="黑体" w:hAnsi="黑体" w:eastAsia="黑体"/>
          <w:sz w:val="30"/>
          <w:szCs w:val="30"/>
        </w:rPr>
      </w:pPr>
      <w:r>
        <w:rPr>
          <w:rFonts w:hint="eastAsia" w:ascii="黑体" w:hAnsi="黑体" w:eastAsia="黑体"/>
          <w:sz w:val="30"/>
          <w:szCs w:val="30"/>
        </w:rPr>
        <w:t>四、供货期</w:t>
      </w:r>
    </w:p>
    <w:p>
      <w:pPr>
        <w:spacing w:line="560" w:lineRule="exact"/>
        <w:ind w:firstLine="600"/>
        <w:rPr>
          <w:rFonts w:ascii="仿宋_GB2312" w:hAnsi="仿宋" w:eastAsia="仿宋_GB2312"/>
          <w:color w:val="000000" w:themeColor="text1"/>
          <w:sz w:val="30"/>
          <w:szCs w:val="30"/>
        </w:rPr>
      </w:pPr>
      <w:r>
        <w:rPr>
          <w:rFonts w:hint="eastAsia" w:ascii="仿宋_GB2312" w:hAnsi="仿宋" w:eastAsia="仿宋_GB2312"/>
          <w:sz w:val="30"/>
          <w:szCs w:val="30"/>
        </w:rPr>
        <w:t>自签订采购合同起10个工作日内</w:t>
      </w:r>
      <w:r>
        <w:rPr>
          <w:rFonts w:hint="eastAsia" w:ascii="仿宋_GB2312" w:hAnsi="Times New Roman" w:eastAsia="仿宋_GB2312"/>
          <w:color w:val="000000" w:themeColor="text1"/>
          <w:sz w:val="30"/>
          <w:szCs w:val="30"/>
        </w:rPr>
        <w:t>。</w:t>
      </w:r>
    </w:p>
    <w:p>
      <w:pPr>
        <w:spacing w:line="560" w:lineRule="exact"/>
        <w:ind w:firstLine="600"/>
        <w:rPr>
          <w:rFonts w:ascii="黑体" w:hAnsi="黑体" w:eastAsia="黑体"/>
          <w:sz w:val="30"/>
          <w:szCs w:val="30"/>
        </w:rPr>
      </w:pPr>
      <w:r>
        <w:rPr>
          <w:rFonts w:hint="eastAsia" w:ascii="黑体" w:hAnsi="黑体" w:eastAsia="黑体"/>
          <w:sz w:val="30"/>
          <w:szCs w:val="30"/>
        </w:rPr>
        <w:t>五、采购数量及预算价格</w:t>
      </w:r>
    </w:p>
    <w:p>
      <w:pPr>
        <w:spacing w:line="560" w:lineRule="exact"/>
        <w:ind w:firstLine="600"/>
        <w:rPr>
          <w:rFonts w:ascii="仿宋_GB2312" w:eastAsia="仿宋_GB2312" w:hAnsiTheme="majorEastAsia"/>
          <w:bCs/>
          <w:sz w:val="30"/>
          <w:szCs w:val="30"/>
        </w:rPr>
      </w:pPr>
      <w:r>
        <w:rPr>
          <w:rFonts w:hint="eastAsia" w:ascii="仿宋_GB2312" w:eastAsia="仿宋_GB2312" w:hAnsiTheme="majorEastAsia"/>
          <w:bCs/>
          <w:sz w:val="30"/>
          <w:szCs w:val="30"/>
          <w:lang w:val="en-US" w:eastAsia="zh-CN"/>
        </w:rPr>
        <w:t>1.</w:t>
      </w:r>
      <w:r>
        <w:rPr>
          <w:rFonts w:hint="eastAsia" w:ascii="仿宋_GB2312" w:eastAsia="仿宋_GB2312" w:hAnsiTheme="majorEastAsia"/>
          <w:bCs/>
          <w:sz w:val="30"/>
          <w:szCs w:val="30"/>
        </w:rPr>
        <w:t>数量：1台；</w:t>
      </w:r>
    </w:p>
    <w:p>
      <w:pPr>
        <w:spacing w:line="560" w:lineRule="exact"/>
        <w:ind w:firstLine="600"/>
        <w:rPr>
          <w:rFonts w:ascii="仿宋_GB2312" w:hAnsi="宋体" w:eastAsia="仿宋_GB2312" w:cs="宋体"/>
          <w:bCs/>
          <w:kern w:val="0"/>
          <w:sz w:val="30"/>
          <w:szCs w:val="30"/>
        </w:rPr>
      </w:pPr>
      <w:r>
        <w:rPr>
          <w:rFonts w:hint="eastAsia" w:ascii="仿宋_GB2312" w:hAnsi="仿宋" w:eastAsia="仿宋_GB2312"/>
          <w:bCs/>
          <w:sz w:val="30"/>
          <w:szCs w:val="30"/>
          <w:lang w:val="en-US" w:eastAsia="zh-CN"/>
        </w:rPr>
        <w:t>2.</w:t>
      </w:r>
      <w:r>
        <w:rPr>
          <w:rFonts w:hint="eastAsia" w:ascii="仿宋_GB2312" w:hAnsi="仿宋" w:eastAsia="仿宋_GB2312"/>
          <w:bCs/>
          <w:sz w:val="30"/>
          <w:szCs w:val="30"/>
        </w:rPr>
        <w:t>预算</w:t>
      </w:r>
      <w:r>
        <w:rPr>
          <w:rFonts w:hint="eastAsia" w:ascii="仿宋_GB2312" w:hAnsi="仿宋" w:eastAsia="仿宋_GB2312"/>
          <w:bCs/>
          <w:sz w:val="30"/>
          <w:szCs w:val="30"/>
          <w:lang w:eastAsia="zh-CN"/>
        </w:rPr>
        <w:t>金额</w:t>
      </w:r>
      <w:r>
        <w:rPr>
          <w:rFonts w:hint="eastAsia" w:ascii="仿宋_GB2312" w:hAnsi="仿宋" w:eastAsia="仿宋_GB2312"/>
          <w:bCs/>
          <w:sz w:val="30"/>
          <w:szCs w:val="30"/>
        </w:rPr>
        <w:t>5000元</w:t>
      </w:r>
      <w:r>
        <w:rPr>
          <w:rFonts w:hint="eastAsia" w:ascii="仿宋_GB2312" w:hAnsi="仿宋" w:eastAsia="仿宋_GB2312" w:cs="仿宋"/>
          <w:bCs/>
          <w:sz w:val="30"/>
          <w:szCs w:val="30"/>
        </w:rPr>
        <w:t>，</w:t>
      </w:r>
      <w:r>
        <w:rPr>
          <w:rFonts w:hint="eastAsia" w:ascii="仿宋_GB2312" w:hAnsi="仿宋" w:eastAsia="仿宋_GB2312"/>
          <w:bCs/>
          <w:sz w:val="30"/>
          <w:szCs w:val="30"/>
        </w:rPr>
        <w:t>报价不能超过预算价。</w:t>
      </w:r>
    </w:p>
    <w:p>
      <w:pPr>
        <w:spacing w:line="560" w:lineRule="exact"/>
        <w:ind w:firstLine="600"/>
        <w:rPr>
          <w:rFonts w:ascii="黑体" w:hAnsi="黑体" w:eastAsia="黑体"/>
          <w:sz w:val="30"/>
          <w:szCs w:val="30"/>
        </w:rPr>
      </w:pPr>
      <w:r>
        <w:rPr>
          <w:rFonts w:hint="eastAsia" w:ascii="黑体" w:hAnsi="黑体" w:eastAsia="黑体"/>
          <w:sz w:val="30"/>
          <w:szCs w:val="30"/>
        </w:rPr>
        <w:t>六、合格的投标人要求</w:t>
      </w:r>
    </w:p>
    <w:p>
      <w:pPr>
        <w:spacing w:line="560" w:lineRule="exact"/>
        <w:ind w:firstLine="450" w:firstLineChars="150"/>
        <w:rPr>
          <w:rFonts w:ascii="黑体" w:hAnsi="黑体" w:eastAsia="黑体"/>
          <w:sz w:val="30"/>
          <w:szCs w:val="30"/>
        </w:rPr>
      </w:pPr>
      <w:r>
        <w:rPr>
          <w:rFonts w:hint="eastAsia" w:ascii="仿宋_GB2312" w:hAnsi="仿宋_GB2312" w:eastAsia="仿宋_GB2312" w:cs="仿宋_GB2312"/>
          <w:sz w:val="30"/>
          <w:szCs w:val="30"/>
        </w:rPr>
        <w:t>（一）具有合法有效的《营业执照》、《税务登记证》、《组织机构代码证》（或三证合一，带二维码）、《</w:t>
      </w:r>
      <w:r>
        <w:rPr>
          <w:rFonts w:hint="eastAsia" w:ascii="仿宋_GB2312" w:hAnsi="仿宋_GB2312" w:eastAsia="仿宋_GB2312" w:cs="仿宋_GB2312"/>
          <w:caps/>
          <w:sz w:val="30"/>
          <w:szCs w:val="30"/>
        </w:rPr>
        <w:t>医疗器械经营许可证》；</w:t>
      </w:r>
      <w:r>
        <w:rPr>
          <w:rFonts w:hint="eastAsia" w:ascii="仿宋_GB2312" w:hAnsi="仿宋_GB2312" w:eastAsia="仿宋_GB2312" w:cs="仿宋_GB2312"/>
          <w:sz w:val="30"/>
          <w:szCs w:val="30"/>
          <w:shd w:val="clear" w:color="auto" w:fill="FFFFFF"/>
        </w:rPr>
        <w:t>所投产品制造商《</w:t>
      </w:r>
      <w:r>
        <w:rPr>
          <w:rFonts w:hint="eastAsia" w:ascii="仿宋_GB2312" w:hAnsi="仿宋_GB2312" w:eastAsia="仿宋_GB2312" w:cs="仿宋_GB2312"/>
          <w:sz w:val="30"/>
          <w:szCs w:val="30"/>
        </w:rPr>
        <w:t>营业执照</w:t>
      </w:r>
      <w:r>
        <w:rPr>
          <w:rFonts w:hint="eastAsia" w:ascii="仿宋_GB2312" w:hAnsi="仿宋_GB2312" w:eastAsia="仿宋_GB2312" w:cs="仿宋_GB2312"/>
          <w:sz w:val="30"/>
          <w:szCs w:val="30"/>
          <w:shd w:val="clear" w:color="auto" w:fill="FFFFFF"/>
        </w:rPr>
        <w:t>》、《医疗器械生产许可证》、《医疗器械注册证》等</w:t>
      </w:r>
      <w:r>
        <w:rPr>
          <w:rFonts w:hint="eastAsia" w:ascii="仿宋_GB2312" w:hAnsi="仿宋_GB2312" w:eastAsia="仿宋_GB2312" w:cs="仿宋_GB2312"/>
          <w:caps/>
          <w:sz w:val="30"/>
          <w:szCs w:val="30"/>
        </w:rPr>
        <w:t>复印件，且在有效期内</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须加盖投标供应商公章，否则视为无效文件</w:t>
      </w:r>
      <w:r>
        <w:rPr>
          <w:rFonts w:hint="eastAsia" w:ascii="仿宋_GB2312" w:hAnsi="仿宋_GB2312" w:eastAsia="仿宋_GB2312" w:cs="仿宋_GB2312"/>
          <w:sz w:val="30"/>
          <w:szCs w:val="30"/>
          <w:shd w:val="clear" w:color="auto" w:fill="FFFFFF"/>
        </w:rPr>
        <w:t>；</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（二）</w:t>
      </w:r>
      <w:r>
        <w:rPr>
          <w:rFonts w:hint="eastAsia" w:ascii="仿宋_GB2312" w:hAnsi="仿宋_GB2312" w:eastAsia="仿宋_GB2312" w:cs="仿宋_GB2312"/>
          <w:color w:val="000000" w:themeColor="text1"/>
          <w:sz w:val="30"/>
          <w:szCs w:val="30"/>
          <w:shd w:val="clear" w:color="auto" w:fill="FFFFFF"/>
        </w:rPr>
        <w:t>法人代表授权委托书（附法人代表身份证复印件、被授权人身份证复印件），加盖公章；</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（三）具有相应经营范围的独立法人或其他组织；</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（四）具有独立承担民事责任能力；</w:t>
      </w:r>
    </w:p>
    <w:p>
      <w:pPr>
        <w:spacing w:line="560" w:lineRule="exact"/>
        <w:ind w:firstLine="600"/>
        <w:rPr>
          <w:rFonts w:ascii="仿宋_GB2312" w:hAnsi="仿宋_GB2312" w:eastAsia="仿宋_GB2312" w:cs="仿宋_GB2312"/>
          <w:color w:val="FF0000"/>
          <w:sz w:val="30"/>
          <w:szCs w:val="30"/>
        </w:rPr>
      </w:pPr>
      <w:r>
        <w:rPr>
          <w:rFonts w:hint="eastAsia" w:ascii="仿宋_GB2312" w:hAnsi="仿宋_GB2312" w:eastAsia="仿宋_GB2312" w:cs="仿宋_GB2312"/>
          <w:color w:val="000000" w:themeColor="text1"/>
          <w:sz w:val="30"/>
          <w:szCs w:val="30"/>
        </w:rPr>
        <w:t>（五）具有良好的商业信誉和健全的财务制度；</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（六）具有履行合同所必需的设备和专业技术能力；</w:t>
      </w:r>
      <w:r>
        <w:rPr>
          <w:rFonts w:ascii="仿宋_GB2312" w:hAnsi="仿宋_GB2312" w:eastAsia="仿宋_GB2312" w:cs="仿宋_GB2312"/>
          <w:color w:val="000000" w:themeColor="text1"/>
          <w:sz w:val="30"/>
          <w:szCs w:val="30"/>
        </w:rPr>
        <w:t xml:space="preserve"> </w:t>
      </w:r>
    </w:p>
    <w:p>
      <w:pPr>
        <w:spacing w:line="560" w:lineRule="exact"/>
        <w:ind w:firstLine="600"/>
        <w:rPr>
          <w:rFonts w:ascii="宋体" w:hAnsi="宋体"/>
          <w:b/>
          <w:sz w:val="30"/>
          <w:szCs w:val="30"/>
        </w:rPr>
      </w:pPr>
      <w:r>
        <w:rPr>
          <w:rFonts w:hint="eastAsia" w:ascii="仿宋_GB2312" w:hAnsi="仿宋_GB2312" w:eastAsia="仿宋_GB2312" w:cs="仿宋_GB2312"/>
          <w:color w:val="000000" w:themeColor="text1"/>
          <w:sz w:val="30"/>
          <w:szCs w:val="30"/>
        </w:rPr>
        <w:t>（七）</w:t>
      </w:r>
      <w:r>
        <w:rPr>
          <w:rFonts w:hint="eastAsia" w:ascii="仿宋_GB2312" w:hAnsi="宋体" w:eastAsia="仿宋_GB2312"/>
          <w:sz w:val="30"/>
          <w:szCs w:val="30"/>
        </w:rPr>
        <w:t>投标公司在近三年内无行贿犯罪记录；</w:t>
      </w:r>
      <w:r>
        <w:rPr>
          <w:rFonts w:ascii="宋体" w:hAnsi="宋体"/>
          <w:b/>
          <w:sz w:val="30"/>
          <w:szCs w:val="30"/>
        </w:rPr>
        <w:t xml:space="preserve"> </w:t>
      </w:r>
    </w:p>
    <w:p>
      <w:pPr>
        <w:spacing w:line="560" w:lineRule="exact"/>
        <w:ind w:firstLine="600"/>
        <w:rPr>
          <w:rFonts w:ascii="仿宋_GB2312" w:hAnsi="黑体" w:eastAsia="仿宋_GB2312"/>
          <w:sz w:val="30"/>
          <w:szCs w:val="30"/>
        </w:rPr>
      </w:pPr>
      <w:r>
        <w:rPr>
          <w:rFonts w:hint="eastAsia" w:ascii="仿宋_GB2312" w:hAnsi="黑体" w:eastAsia="仿宋_GB2312"/>
          <w:sz w:val="30"/>
          <w:szCs w:val="30"/>
        </w:rPr>
        <w:t>（八）</w:t>
      </w:r>
      <w:r>
        <w:rPr>
          <w:rFonts w:hint="eastAsia" w:ascii="仿宋_GB2312" w:hAnsi="仿宋_GB2312" w:eastAsia="仿宋_GB2312" w:cs="仿宋_GB2312"/>
          <w:color w:val="000000" w:themeColor="text1"/>
          <w:sz w:val="30"/>
          <w:szCs w:val="30"/>
        </w:rPr>
        <w:t>提供</w:t>
      </w:r>
      <w:r>
        <w:rPr>
          <w:rFonts w:hint="eastAsia" w:ascii="仿宋_GB2312" w:hAnsi="黑体" w:eastAsia="仿宋_GB2312"/>
          <w:sz w:val="30"/>
          <w:szCs w:val="30"/>
        </w:rPr>
        <w:t>投标文件原件1套，必须包含</w:t>
      </w:r>
      <w:r>
        <w:rPr>
          <w:rFonts w:hint="eastAsia" w:ascii="仿宋_GB2312" w:hAnsi="仿宋_GB2312" w:eastAsia="仿宋_GB2312" w:cs="仿宋_GB2312"/>
          <w:color w:val="000000" w:themeColor="text1"/>
          <w:sz w:val="30"/>
          <w:szCs w:val="30"/>
        </w:rPr>
        <w:t>报价表、投标技术参数偏离表，投标文件密封并</w:t>
      </w:r>
      <w:r>
        <w:rPr>
          <w:rFonts w:hint="eastAsia" w:ascii="仿宋_GB2312" w:hAnsi="仿宋_GB2312" w:eastAsia="仿宋_GB2312" w:cs="仿宋_GB2312"/>
          <w:color w:val="000000" w:themeColor="text1"/>
          <w:sz w:val="30"/>
          <w:szCs w:val="30"/>
          <w:shd w:val="clear" w:color="auto" w:fill="FFFFFF"/>
        </w:rPr>
        <w:t>加盖公章。</w:t>
      </w:r>
    </w:p>
    <w:p>
      <w:pPr>
        <w:spacing w:line="560" w:lineRule="exact"/>
        <w:ind w:firstLine="600"/>
        <w:rPr>
          <w:rFonts w:hint="eastAsia" w:ascii="黑体" w:hAnsi="黑体" w:eastAsia="黑体"/>
          <w:sz w:val="30"/>
          <w:szCs w:val="30"/>
        </w:rPr>
      </w:pPr>
      <w:r>
        <w:rPr>
          <w:rFonts w:hint="eastAsia" w:ascii="黑体" w:hAnsi="黑体" w:eastAsia="黑体"/>
          <w:sz w:val="30"/>
          <w:szCs w:val="30"/>
        </w:rPr>
        <w:t>七、评分标准</w:t>
      </w:r>
    </w:p>
    <w:tbl>
      <w:tblPr>
        <w:tblStyle w:val="9"/>
        <w:tblW w:w="9932" w:type="dxa"/>
        <w:jc w:val="center"/>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728"/>
        <w:gridCol w:w="1554"/>
        <w:gridCol w:w="6650"/>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trHeight w:val="614" w:hRule="atLeast"/>
          <w:jc w:val="center"/>
        </w:trPr>
        <w:tc>
          <w:tcPr>
            <w:tcW w:w="1728" w:type="dxa"/>
            <w:tcBorders>
              <w:top w:val="single" w:color="auto" w:sz="12" w:space="0"/>
              <w:left w:val="single" w:color="auto" w:sz="12"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宋体" w:eastAsia="仿宋_GB2312"/>
                <w:sz w:val="24"/>
                <w:szCs w:val="24"/>
              </w:rPr>
            </w:pPr>
            <w:r>
              <w:rPr>
                <w:rFonts w:hint="eastAsia" w:ascii="仿宋_GB2312" w:hAnsi="宋体" w:eastAsia="仿宋_GB2312"/>
                <w:sz w:val="24"/>
                <w:szCs w:val="24"/>
              </w:rPr>
              <w:t>条款内容</w:t>
            </w:r>
          </w:p>
        </w:tc>
        <w:tc>
          <w:tcPr>
            <w:tcW w:w="1554" w:type="dxa"/>
            <w:tcBorders>
              <w:top w:val="single" w:color="auto" w:sz="12"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宋体" w:eastAsia="仿宋_GB2312"/>
                <w:sz w:val="24"/>
                <w:szCs w:val="24"/>
              </w:rPr>
            </w:pPr>
            <w:r>
              <w:rPr>
                <w:rFonts w:hint="eastAsia" w:ascii="仿宋_GB2312" w:hAnsi="宋体" w:eastAsia="仿宋_GB2312"/>
                <w:sz w:val="24"/>
                <w:szCs w:val="24"/>
              </w:rPr>
              <w:t>评分项目</w:t>
            </w:r>
          </w:p>
        </w:tc>
        <w:tc>
          <w:tcPr>
            <w:tcW w:w="6650" w:type="dxa"/>
            <w:tcBorders>
              <w:top w:val="single" w:color="auto" w:sz="12" w:space="0"/>
              <w:left w:val="single" w:color="auto" w:sz="8" w:space="0"/>
              <w:bottom w:val="single" w:color="auto" w:sz="8"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仿宋_GB2312" w:hAnsi="宋体" w:eastAsia="仿宋_GB2312"/>
                <w:sz w:val="24"/>
                <w:szCs w:val="24"/>
              </w:rPr>
            </w:pPr>
            <w:r>
              <w:rPr>
                <w:rFonts w:hint="eastAsia" w:ascii="仿宋_GB2312" w:hAnsi="宋体" w:eastAsia="仿宋_GB2312"/>
                <w:sz w:val="24"/>
                <w:szCs w:val="24"/>
              </w:rPr>
              <w:t>评分标准</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trHeight w:val="1979" w:hRule="atLeast"/>
          <w:jc w:val="center"/>
        </w:trPr>
        <w:tc>
          <w:tcPr>
            <w:tcW w:w="1728" w:type="dxa"/>
            <w:tcBorders>
              <w:top w:val="single" w:color="auto" w:sz="12" w:space="0"/>
              <w:left w:val="single" w:color="auto" w:sz="12" w:space="0"/>
              <w:right w:val="single" w:color="auto" w:sz="8"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eastAsia="仿宋_GB2312"/>
                <w:sz w:val="24"/>
                <w:szCs w:val="24"/>
              </w:rPr>
            </w:pPr>
            <w:r>
              <w:rPr>
                <w:rFonts w:hint="eastAsia" w:ascii="仿宋_GB2312" w:eastAsia="仿宋_GB2312"/>
                <w:sz w:val="24"/>
                <w:szCs w:val="24"/>
              </w:rPr>
              <w:t>F1投标报价</w:t>
            </w:r>
          </w:p>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eastAsia="仿宋_GB2312"/>
                <w:sz w:val="24"/>
                <w:szCs w:val="24"/>
              </w:rPr>
            </w:pPr>
            <w:r>
              <w:rPr>
                <w:rFonts w:hint="eastAsia" w:ascii="仿宋_GB2312" w:eastAsia="仿宋_GB2312"/>
                <w:sz w:val="24"/>
                <w:szCs w:val="24"/>
              </w:rPr>
              <w:t xml:space="preserve">(满分为100，权重A1＝30％) </w:t>
            </w:r>
          </w:p>
        </w:tc>
        <w:tc>
          <w:tcPr>
            <w:tcW w:w="1554" w:type="dxa"/>
            <w:tcBorders>
              <w:top w:val="single" w:color="auto" w:sz="12" w:space="0"/>
              <w:left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sz w:val="24"/>
                <w:szCs w:val="24"/>
              </w:rPr>
            </w:pPr>
            <w:r>
              <w:rPr>
                <w:rFonts w:hint="eastAsia" w:ascii="仿宋_GB2312" w:hAnsi="宋体" w:eastAsia="仿宋_GB2312"/>
                <w:sz w:val="24"/>
                <w:szCs w:val="24"/>
              </w:rPr>
              <w:t>投标报价评分计算公式(30分)</w:t>
            </w:r>
          </w:p>
        </w:tc>
        <w:tc>
          <w:tcPr>
            <w:tcW w:w="6650" w:type="dxa"/>
            <w:tcBorders>
              <w:top w:val="single" w:color="auto" w:sz="12" w:space="0"/>
              <w:left w:val="single" w:color="auto" w:sz="8"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F1=（评标基准价/该评标人的投标报价)*0.3*100</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注：（1）评标基准价：评标基准价为符合资格评审及符合性评审条件下的有效报价的最低价。</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（2）投标价不得超出采购预算价。</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trHeight w:val="2179" w:hRule="atLeast"/>
          <w:jc w:val="center"/>
        </w:trPr>
        <w:tc>
          <w:tcPr>
            <w:tcW w:w="1728" w:type="dxa"/>
            <w:vMerge w:val="restart"/>
            <w:tcBorders>
              <w:top w:val="single" w:color="auto" w:sz="8" w:space="0"/>
              <w:left w:val="single" w:color="auto" w:sz="12" w:space="0"/>
              <w:right w:val="single" w:color="auto" w:sz="8"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eastAsia="仿宋_GB2312"/>
                <w:sz w:val="24"/>
                <w:szCs w:val="24"/>
              </w:rPr>
            </w:pPr>
            <w:r>
              <w:rPr>
                <w:rFonts w:hint="eastAsia" w:ascii="仿宋_GB2312" w:eastAsia="仿宋_GB2312"/>
                <w:sz w:val="24"/>
                <w:szCs w:val="24"/>
              </w:rPr>
              <w:t>F2技术部分</w:t>
            </w:r>
          </w:p>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eastAsia="仿宋_GB2312"/>
                <w:sz w:val="24"/>
                <w:szCs w:val="24"/>
              </w:rPr>
            </w:pPr>
            <w:r>
              <w:rPr>
                <w:rFonts w:hint="eastAsia" w:ascii="仿宋_GB2312" w:eastAsia="仿宋_GB2312"/>
                <w:sz w:val="24"/>
                <w:szCs w:val="24"/>
              </w:rPr>
              <w:t>(满分为100，权重A2＝60％)</w:t>
            </w:r>
          </w:p>
        </w:tc>
        <w:tc>
          <w:tcPr>
            <w:tcW w:w="1554" w:type="dxa"/>
            <w:vMerge w:val="restart"/>
            <w:tcBorders>
              <w:top w:val="single" w:color="auto" w:sz="8" w:space="0"/>
              <w:left w:val="single" w:color="auto" w:sz="8"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技术参数响应程度</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（60分）</w:t>
            </w:r>
          </w:p>
        </w:tc>
        <w:tc>
          <w:tcPr>
            <w:tcW w:w="6650" w:type="dxa"/>
            <w:tcBorders>
              <w:top w:val="single" w:color="auto" w:sz="8" w:space="0"/>
              <w:left w:val="single" w:color="auto" w:sz="4"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根据响应文件进行评审：</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1</w:t>
            </w:r>
            <w:r>
              <w:rPr>
                <w:rFonts w:hint="eastAsia" w:ascii="仿宋_GB2312" w:hAnsi="宋体" w:eastAsia="仿宋_GB2312" w:cs="宋体"/>
                <w:sz w:val="24"/>
                <w:szCs w:val="24"/>
                <w:lang w:val="en-US" w:eastAsia="zh-CN"/>
              </w:rPr>
              <w:t>.</w:t>
            </w:r>
            <w:r>
              <w:rPr>
                <w:rFonts w:hint="eastAsia" w:ascii="仿宋_GB2312" w:hAnsi="宋体" w:eastAsia="仿宋_GB2312" w:cs="宋体"/>
                <w:sz w:val="24"/>
                <w:szCs w:val="24"/>
              </w:rPr>
              <w:t>标注“★”条款内容的技术参数不满足一条扣5分</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2</w:t>
            </w:r>
            <w:r>
              <w:rPr>
                <w:rFonts w:hint="eastAsia" w:ascii="仿宋_GB2312" w:hAnsi="宋体" w:eastAsia="仿宋_GB2312" w:cs="宋体"/>
                <w:sz w:val="24"/>
                <w:szCs w:val="24"/>
                <w:lang w:val="en-US" w:eastAsia="zh-CN"/>
              </w:rPr>
              <w:t>.</w:t>
            </w:r>
            <w:r>
              <w:rPr>
                <w:rFonts w:hint="eastAsia" w:ascii="仿宋_GB2312" w:hAnsi="宋体" w:eastAsia="仿宋_GB2312" w:cs="宋体"/>
                <w:sz w:val="24"/>
                <w:szCs w:val="24"/>
              </w:rPr>
              <w:t>非“★”条款内容的技术参数</w:t>
            </w:r>
            <w:r>
              <w:rPr>
                <w:rFonts w:hint="eastAsia" w:ascii="仿宋_GB2312" w:hAnsi="宋体" w:eastAsia="仿宋_GB2312" w:cs="宋体"/>
                <w:bCs/>
                <w:sz w:val="24"/>
                <w:szCs w:val="24"/>
              </w:rPr>
              <w:t>不</w:t>
            </w:r>
            <w:r>
              <w:rPr>
                <w:rFonts w:hint="eastAsia" w:ascii="仿宋_GB2312" w:hAnsi="宋体" w:eastAsia="仿宋_GB2312" w:cs="宋体"/>
                <w:sz w:val="24"/>
                <w:szCs w:val="24"/>
              </w:rPr>
              <w:t>满足一条扣2分；</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bCs/>
                <w:sz w:val="24"/>
                <w:szCs w:val="24"/>
              </w:rPr>
              <w:t>投标人须要对所提供的技术参数负责，不真实提供技术参数的按虚假投标处理。</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trHeight w:val="1028" w:hRule="atLeast"/>
          <w:jc w:val="center"/>
        </w:trPr>
        <w:tc>
          <w:tcPr>
            <w:tcW w:w="1728" w:type="dxa"/>
            <w:vMerge w:val="continue"/>
            <w:tcBorders>
              <w:left w:val="single" w:color="auto" w:sz="12"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sz w:val="24"/>
                <w:szCs w:val="24"/>
              </w:rPr>
            </w:pPr>
          </w:p>
        </w:tc>
        <w:tc>
          <w:tcPr>
            <w:tcW w:w="1554" w:type="dxa"/>
            <w:vMerge w:val="continue"/>
            <w:tcBorders>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b/>
                <w:sz w:val="24"/>
                <w:szCs w:val="24"/>
              </w:rPr>
            </w:pPr>
          </w:p>
        </w:tc>
        <w:tc>
          <w:tcPr>
            <w:tcW w:w="6650"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sz w:val="24"/>
                <w:szCs w:val="24"/>
              </w:rPr>
            </w:pPr>
            <w:r>
              <w:rPr>
                <w:rFonts w:hint="eastAsia" w:ascii="仿宋_GB2312" w:hAnsi="宋体" w:eastAsia="仿宋_GB2312"/>
                <w:sz w:val="24"/>
                <w:szCs w:val="24"/>
              </w:rPr>
              <w:t>备注：评委对各投标人的投标文件技术部分独立进行评分，评分分值必须与评分标准规定的相应档次分值一致。</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trHeight w:val="4452" w:hRule="atLeast"/>
          <w:jc w:val="center"/>
        </w:trPr>
        <w:tc>
          <w:tcPr>
            <w:tcW w:w="1728" w:type="dxa"/>
            <w:vMerge w:val="restart"/>
            <w:tcBorders>
              <w:top w:val="single" w:color="auto" w:sz="8" w:space="0"/>
              <w:left w:val="single" w:color="auto" w:sz="12" w:space="0"/>
              <w:right w:val="single" w:color="auto" w:sz="8"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eastAsia="仿宋_GB2312"/>
                <w:sz w:val="24"/>
                <w:szCs w:val="24"/>
              </w:rPr>
            </w:pPr>
            <w:r>
              <w:rPr>
                <w:rFonts w:hint="eastAsia" w:ascii="仿宋_GB2312" w:hAnsi="宋体" w:eastAsia="仿宋_GB2312"/>
                <w:sz w:val="24"/>
                <w:szCs w:val="24"/>
              </w:rPr>
              <w:t>F3服务及信誉部分</w:t>
            </w:r>
            <w:r>
              <w:rPr>
                <w:rFonts w:hint="eastAsia" w:ascii="仿宋_GB2312" w:eastAsia="仿宋_GB2312"/>
                <w:sz w:val="24"/>
                <w:szCs w:val="24"/>
              </w:rPr>
              <w:t>(满分为100，权重A3＝10％)</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sz w:val="24"/>
                <w:szCs w:val="24"/>
              </w:rPr>
            </w:pPr>
          </w:p>
        </w:tc>
        <w:tc>
          <w:tcPr>
            <w:tcW w:w="1554" w:type="dxa"/>
            <w:vMerge w:val="restart"/>
            <w:tcBorders>
              <w:top w:val="single" w:color="auto" w:sz="4" w:space="0"/>
              <w:left w:val="single" w:color="auto" w:sz="8"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售后服务承诺（满分10分）</w:t>
            </w:r>
          </w:p>
        </w:tc>
        <w:tc>
          <w:tcPr>
            <w:tcW w:w="6650" w:type="dxa"/>
            <w:tcBorders>
              <w:top w:val="single" w:color="auto" w:sz="4" w:space="0"/>
              <w:left w:val="single" w:color="auto" w:sz="4"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第一个档次（10分）：售后服务、本地化服务、设备质量保证、工作进度、事故处理、安装、调试、培训、特殊情况、巡检服务完善具体，有相应证明；</w:t>
            </w:r>
          </w:p>
          <w:p>
            <w:pPr>
              <w:keepNext w:val="0"/>
              <w:keepLines w:val="0"/>
              <w:pageBreakBefore w:val="0"/>
              <w:widowControl/>
              <w:tabs>
                <w:tab w:val="left" w:pos="2129"/>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第二个档次（6分）：售后服务、本地化服务、设备质量保证、工作进度、事故处理、安装、调试、培训、特殊情况、巡检服务基本可行；</w:t>
            </w:r>
          </w:p>
          <w:p>
            <w:pPr>
              <w:keepNext w:val="0"/>
              <w:keepLines w:val="0"/>
              <w:pageBreakBefore w:val="0"/>
              <w:tabs>
                <w:tab w:val="left" w:pos="2129"/>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第三个档次（3分）：售后服务、本地化服务、设备质量保证、工作进度、事故处理、安装、调试、培训、特殊情况、巡检服务差；</w:t>
            </w:r>
          </w:p>
          <w:p>
            <w:pPr>
              <w:keepNext w:val="0"/>
              <w:keepLines w:val="0"/>
              <w:pageBreakBefore w:val="0"/>
              <w:tabs>
                <w:tab w:val="left" w:pos="2129"/>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cs="宋体"/>
                <w:sz w:val="24"/>
                <w:szCs w:val="24"/>
              </w:rPr>
            </w:pPr>
            <w:r>
              <w:rPr>
                <w:rFonts w:hint="eastAsia" w:ascii="仿宋_GB2312" w:hAnsi="宋体" w:eastAsia="仿宋_GB2312" w:cs="宋体"/>
                <w:sz w:val="24"/>
                <w:szCs w:val="24"/>
              </w:rPr>
              <w:t>无售后服务承诺的本项不得分</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trHeight w:val="1113" w:hRule="atLeast"/>
          <w:jc w:val="center"/>
        </w:trPr>
        <w:tc>
          <w:tcPr>
            <w:tcW w:w="1728" w:type="dxa"/>
            <w:vMerge w:val="continue"/>
            <w:tcBorders>
              <w:left w:val="single" w:color="auto" w:sz="12"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sz w:val="24"/>
                <w:szCs w:val="24"/>
              </w:rPr>
            </w:pPr>
          </w:p>
        </w:tc>
        <w:tc>
          <w:tcPr>
            <w:tcW w:w="1554" w:type="dxa"/>
            <w:vMerge w:val="continue"/>
            <w:tcBorders>
              <w:left w:val="single" w:color="auto" w:sz="8" w:space="0"/>
              <w:right w:val="single" w:color="auto" w:sz="4" w:space="0"/>
            </w:tcBorders>
            <w:vAlign w:val="center"/>
          </w:tcPr>
          <w:p>
            <w:pPr>
              <w:keepNext w:val="0"/>
              <w:keepLines w:val="0"/>
              <w:pageBreakBefore w:val="0"/>
              <w:tabs>
                <w:tab w:val="left" w:pos="2129"/>
              </w:tabs>
              <w:kinsoku/>
              <w:wordWrap/>
              <w:overflowPunct/>
              <w:topLinePunct w:val="0"/>
              <w:autoSpaceDE/>
              <w:autoSpaceDN/>
              <w:bidi w:val="0"/>
              <w:adjustRightInd/>
              <w:snapToGrid/>
              <w:spacing w:line="400" w:lineRule="exact"/>
              <w:ind w:firstLine="0" w:firstLineChars="0"/>
              <w:jc w:val="both"/>
              <w:textAlignment w:val="auto"/>
              <w:rPr>
                <w:rFonts w:hint="eastAsia" w:ascii="仿宋_GB2312" w:eastAsia="仿宋_GB2312"/>
                <w:sz w:val="24"/>
                <w:szCs w:val="24"/>
              </w:rPr>
            </w:pPr>
          </w:p>
        </w:tc>
        <w:tc>
          <w:tcPr>
            <w:tcW w:w="6650" w:type="dxa"/>
            <w:tcBorders>
              <w:top w:val="single" w:color="auto" w:sz="4" w:space="0"/>
              <w:left w:val="single" w:color="auto" w:sz="4" w:space="0"/>
              <w:right w:val="single" w:color="auto" w:sz="12" w:space="0"/>
            </w:tcBorders>
            <w:vAlign w:val="center"/>
          </w:tcPr>
          <w:p>
            <w:pPr>
              <w:keepNext w:val="0"/>
              <w:keepLines w:val="0"/>
              <w:pageBreakBefore w:val="0"/>
              <w:tabs>
                <w:tab w:val="left" w:pos="2129"/>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宋体" w:eastAsia="仿宋_GB2312"/>
                <w:sz w:val="24"/>
                <w:szCs w:val="24"/>
              </w:rPr>
            </w:pPr>
            <w:r>
              <w:rPr>
                <w:rFonts w:hint="eastAsia" w:ascii="仿宋_GB2312" w:hAnsi="宋体" w:eastAsia="仿宋_GB2312"/>
                <w:sz w:val="24"/>
                <w:szCs w:val="24"/>
              </w:rPr>
              <w:t>备注：评委对各投标人的投标文件服务及信誉部分独立进行评分，评分分值必须与评分标准规定的相应档次分值一致。</w:t>
            </w:r>
          </w:p>
        </w:tc>
      </w:tr>
    </w:tbl>
    <w:p>
      <w:pPr>
        <w:widowControl/>
        <w:ind w:firstLine="600"/>
        <w:jc w:val="left"/>
        <w:rPr>
          <w:rFonts w:hint="eastAsia" w:ascii="仿宋_GB2312" w:hAnsi="黑体" w:eastAsia="仿宋_GB2312"/>
          <w:sz w:val="30"/>
          <w:szCs w:val="30"/>
        </w:rPr>
      </w:pPr>
      <w:r>
        <w:rPr>
          <w:rFonts w:hint="eastAsia" w:ascii="仿宋_GB2312" w:hAnsi="宋体" w:eastAsia="仿宋_GB2312"/>
          <w:sz w:val="30"/>
          <w:szCs w:val="30"/>
        </w:rPr>
        <w:t>备注：评标委员会按以上公式计算出各投标人的总得分，推荐中标候选人按评标总得分由高到低顺序排列</w:t>
      </w:r>
      <w:r>
        <w:rPr>
          <w:rFonts w:hint="eastAsia" w:ascii="仿宋_GB2312" w:hAnsi="宋体" w:eastAsia="仿宋_GB2312" w:cs="宋体"/>
          <w:sz w:val="30"/>
          <w:szCs w:val="30"/>
        </w:rPr>
        <w:t>；评标总得分相同的，按投标报价由低到高顺序排列；评标总得分且投标报价相同的，按技术指标优劣顺序排列，依次类推。</w:t>
      </w:r>
    </w:p>
    <w:p>
      <w:pPr>
        <w:spacing w:line="560" w:lineRule="exact"/>
        <w:ind w:firstLine="600"/>
        <w:rPr>
          <w:rFonts w:ascii="黑体" w:hAnsi="黑体" w:eastAsia="黑体"/>
          <w:sz w:val="30"/>
          <w:szCs w:val="30"/>
        </w:rPr>
      </w:pPr>
      <w:r>
        <w:rPr>
          <w:rFonts w:hint="eastAsia" w:ascii="黑体" w:hAnsi="黑体" w:eastAsia="黑体"/>
          <w:sz w:val="30"/>
          <w:szCs w:val="30"/>
        </w:rPr>
        <w:t>八、售后服务</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（一）供货企业所投产品、规格，必须满足医院《内部招标采购管理暂行办法》要求，质量必须符合国家相关部门标准；</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（二）产品质保期1年，产品制造商有固定的售后工程师以提供终身售后服务支持。</w:t>
      </w:r>
    </w:p>
    <w:p>
      <w:pPr>
        <w:spacing w:line="560" w:lineRule="exact"/>
        <w:ind w:firstLine="600"/>
        <w:rPr>
          <w:rFonts w:ascii="黑体" w:hAnsi="黑体" w:eastAsia="黑体" w:cs="黑体"/>
          <w:sz w:val="30"/>
          <w:szCs w:val="30"/>
        </w:rPr>
      </w:pPr>
      <w:r>
        <w:rPr>
          <w:rFonts w:hint="eastAsia" w:ascii="黑体" w:hAnsi="黑体" w:eastAsia="黑体"/>
          <w:sz w:val="30"/>
          <w:szCs w:val="30"/>
        </w:rPr>
        <w:t>九、</w:t>
      </w:r>
      <w:r>
        <w:rPr>
          <w:rFonts w:hint="eastAsia" w:ascii="黑体" w:hAnsi="黑体" w:eastAsia="黑体" w:cs="黑体"/>
          <w:sz w:val="30"/>
          <w:szCs w:val="30"/>
        </w:rPr>
        <w:t>招标结果公示</w:t>
      </w:r>
    </w:p>
    <w:p>
      <w:pPr>
        <w:spacing w:line="560" w:lineRule="exact"/>
        <w:ind w:firstLine="450" w:firstLineChars="150"/>
        <w:rPr>
          <w:rFonts w:ascii="仿宋_GB2312" w:hAnsi="仿宋_GB2312" w:eastAsia="仿宋_GB2312" w:cs="仿宋_GB2312"/>
          <w:color w:val="FF0000"/>
          <w:sz w:val="30"/>
          <w:szCs w:val="30"/>
        </w:rPr>
      </w:pPr>
      <w:r>
        <w:rPr>
          <w:rFonts w:hint="eastAsia" w:ascii="仿宋_GB2312" w:hAnsi="仿宋_GB2312" w:eastAsia="仿宋_GB2312" w:cs="仿宋_GB2312"/>
          <w:sz w:val="30"/>
          <w:szCs w:val="30"/>
        </w:rPr>
        <w:t>（一）经我院招标会议后将进行招标结果公示，待公示期结束无异议后，将通知中标供应商，未中标的供应商将不再另行通知，敬请谅解。</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（二）招标结果公示地点</w:t>
      </w:r>
    </w:p>
    <w:p>
      <w:pPr>
        <w:spacing w:line="560" w:lineRule="exact"/>
        <w:ind w:firstLine="600"/>
        <w:jc w:val="left"/>
        <w:rPr>
          <w:rFonts w:ascii="Times New Roman" w:hAnsi="Times New Roman" w:eastAsia="仿宋_GB2312"/>
          <w:color w:val="000000" w:themeColor="text1"/>
          <w:sz w:val="30"/>
          <w:szCs w:val="30"/>
        </w:rPr>
      </w:pPr>
      <w:r>
        <w:rPr>
          <w:rFonts w:hint="eastAsia" w:ascii="Times New Roman" w:hAnsi="Times New Roman" w:eastAsia="仿宋_GB2312"/>
          <w:color w:val="000000" w:themeColor="text1"/>
          <w:sz w:val="30"/>
          <w:szCs w:val="30"/>
        </w:rPr>
        <w:t>昆明市西山区人民医院官网：https://www.xsqrmyy.net/。</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（三）招标结果公示期</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自采购开标当天之日起1天。</w:t>
      </w:r>
    </w:p>
    <w:p>
      <w:pPr>
        <w:spacing w:line="560" w:lineRule="exact"/>
        <w:ind w:firstLine="600"/>
        <w:rPr>
          <w:rFonts w:ascii="黑体" w:hAnsi="黑体" w:eastAsia="黑体"/>
          <w:sz w:val="30"/>
          <w:szCs w:val="30"/>
        </w:rPr>
      </w:pPr>
      <w:r>
        <w:rPr>
          <w:rFonts w:hint="eastAsia" w:ascii="黑体" w:hAnsi="黑体" w:eastAsia="黑体"/>
          <w:sz w:val="30"/>
          <w:szCs w:val="30"/>
        </w:rPr>
        <w:t>十、联系方式</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地址：昆明市西山区人民医院（昆明市西山区益宁路与西苑浦路交叉口西北侧）</w:t>
      </w:r>
      <w:r>
        <w:rPr>
          <w:rFonts w:hint="eastAsia" w:ascii="Times New Roman" w:hAnsi="Times New Roman" w:eastAsia="仿宋_GB2312"/>
          <w:color w:val="000000" w:themeColor="text1"/>
          <w:sz w:val="30"/>
          <w:szCs w:val="30"/>
        </w:rPr>
        <w:t>；</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联系人：</w:t>
      </w:r>
      <w:r>
        <w:rPr>
          <w:rFonts w:hint="eastAsia" w:ascii="Times New Roman" w:hAnsi="Times New Roman" w:eastAsia="仿宋_GB2312"/>
          <w:color w:val="000000" w:themeColor="text1"/>
          <w:sz w:val="30"/>
          <w:szCs w:val="30"/>
        </w:rPr>
        <w:t>医学装备部/韩永贤；</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联系电话：0871-681</w:t>
      </w:r>
      <w:r>
        <w:rPr>
          <w:rFonts w:hint="eastAsia" w:ascii="Times New Roman" w:hAnsi="Times New Roman" w:eastAsia="仿宋_GB2312"/>
          <w:color w:val="000000" w:themeColor="text1"/>
          <w:sz w:val="30"/>
          <w:szCs w:val="30"/>
        </w:rPr>
        <w:t>79313。</w:t>
      </w:r>
    </w:p>
    <w:p>
      <w:pPr>
        <w:spacing w:line="560" w:lineRule="exact"/>
        <w:ind w:firstLine="600"/>
        <w:rPr>
          <w:rFonts w:ascii="黑体" w:hAnsi="黑体" w:eastAsia="黑体"/>
          <w:sz w:val="30"/>
          <w:szCs w:val="30"/>
        </w:rPr>
      </w:pPr>
      <w:r>
        <w:rPr>
          <w:rFonts w:hint="eastAsia" w:ascii="黑体" w:hAnsi="黑体" w:eastAsia="黑体"/>
          <w:sz w:val="30"/>
          <w:szCs w:val="30"/>
        </w:rPr>
        <w:t>十一、公告方式</w:t>
      </w:r>
    </w:p>
    <w:p>
      <w:pPr>
        <w:spacing w:line="560" w:lineRule="exact"/>
        <w:ind w:firstLine="600"/>
        <w:jc w:val="left"/>
        <w:rPr>
          <w:rFonts w:ascii="Times New Roman" w:hAnsi="Times New Roman" w:eastAsia="仿宋_GB2312"/>
          <w:color w:val="000000" w:themeColor="text1"/>
          <w:sz w:val="30"/>
          <w:szCs w:val="30"/>
        </w:rPr>
      </w:pPr>
      <w:r>
        <w:rPr>
          <w:rFonts w:hint="eastAsia" w:ascii="Times New Roman" w:hAnsi="Times New Roman" w:eastAsia="仿宋_GB2312"/>
          <w:color w:val="000000" w:themeColor="text1"/>
          <w:sz w:val="30"/>
          <w:szCs w:val="30"/>
        </w:rPr>
        <w:t>昆明市西山区人民医院官网：https://www.xsqrmyy.net/。</w:t>
      </w:r>
    </w:p>
    <w:p>
      <w:pPr>
        <w:spacing w:line="560" w:lineRule="exact"/>
        <w:ind w:firstLine="600"/>
        <w:rPr>
          <w:rFonts w:ascii="黑体" w:hAnsi="黑体" w:eastAsia="黑体" w:cs="黑体"/>
          <w:sz w:val="30"/>
          <w:szCs w:val="30"/>
        </w:rPr>
      </w:pPr>
      <w:r>
        <w:rPr>
          <w:rFonts w:hint="eastAsia" w:ascii="黑体" w:hAnsi="黑体" w:eastAsia="黑体"/>
          <w:sz w:val="30"/>
          <w:szCs w:val="30"/>
        </w:rPr>
        <w:t>十二、</w:t>
      </w:r>
      <w:r>
        <w:rPr>
          <w:rFonts w:hint="eastAsia" w:ascii="黑体" w:hAnsi="黑体" w:eastAsia="黑体" w:cs="黑体"/>
          <w:sz w:val="30"/>
          <w:szCs w:val="30"/>
        </w:rPr>
        <w:t>公示期限</w:t>
      </w:r>
    </w:p>
    <w:p>
      <w:pPr>
        <w:spacing w:line="560" w:lineRule="exact"/>
        <w:ind w:firstLine="600"/>
        <w:jc w:val="left"/>
        <w:rPr>
          <w:rFonts w:ascii="仿宋_GB2312" w:hAnsi="Times New Roman" w:eastAsia="仿宋_GB2312"/>
          <w:sz w:val="30"/>
          <w:szCs w:val="30"/>
        </w:rPr>
      </w:pPr>
      <w:r>
        <w:rPr>
          <w:rFonts w:hint="eastAsia" w:ascii="仿宋_GB2312" w:hAnsi="Times New Roman" w:eastAsia="仿宋_GB2312"/>
          <w:sz w:val="30"/>
          <w:szCs w:val="30"/>
        </w:rPr>
        <w:t>自本公告发布之日起3个工作日。</w:t>
      </w:r>
    </w:p>
    <w:p>
      <w:pPr>
        <w:spacing w:line="560" w:lineRule="exact"/>
        <w:ind w:firstLine="602"/>
        <w:rPr>
          <w:rFonts w:ascii="仿宋" w:hAnsi="仿宋" w:eastAsia="仿宋"/>
          <w:b/>
          <w:sz w:val="30"/>
          <w:szCs w:val="30"/>
        </w:rPr>
      </w:pPr>
    </w:p>
    <w:p>
      <w:pPr>
        <w:spacing w:line="560" w:lineRule="exact"/>
        <w:ind w:firstLine="600"/>
        <w:rPr>
          <w:rFonts w:ascii="仿宋" w:hAnsi="仿宋" w:eastAsia="仿宋"/>
          <w:b/>
          <w:color w:val="FF0000"/>
          <w:sz w:val="30"/>
          <w:szCs w:val="30"/>
        </w:rPr>
      </w:pPr>
      <w:r>
        <w:rPr>
          <w:rFonts w:hint="eastAsia" w:ascii="仿宋" w:hAnsi="仿宋" w:eastAsia="仿宋"/>
          <w:sz w:val="30"/>
          <w:szCs w:val="30"/>
        </w:rPr>
        <w:t xml:space="preserve">  </w:t>
      </w:r>
      <w:r>
        <w:rPr>
          <w:rFonts w:hint="eastAsia" w:ascii="仿宋" w:hAnsi="仿宋" w:eastAsia="仿宋"/>
          <w:color w:val="FF0000"/>
          <w:sz w:val="30"/>
          <w:szCs w:val="30"/>
        </w:rPr>
        <w:t>※※※</w:t>
      </w:r>
      <w:r>
        <w:rPr>
          <w:rFonts w:hint="eastAsia" w:ascii="仿宋" w:hAnsi="仿宋" w:eastAsia="仿宋"/>
          <w:b/>
          <w:color w:val="FF0000"/>
          <w:sz w:val="30"/>
          <w:szCs w:val="30"/>
        </w:rPr>
        <w:t>重要提示：</w:t>
      </w:r>
    </w:p>
    <w:p>
      <w:pPr>
        <w:spacing w:line="560" w:lineRule="exact"/>
        <w:ind w:firstLine="602"/>
        <w:rPr>
          <w:rFonts w:ascii="仿宋_GB2312" w:hAnsi="仿宋" w:eastAsia="仿宋_GB2312"/>
          <w:b/>
          <w:color w:val="FF0000"/>
          <w:sz w:val="30"/>
          <w:szCs w:val="30"/>
        </w:rPr>
      </w:pPr>
      <w:r>
        <w:rPr>
          <w:rFonts w:hint="eastAsia" w:ascii="仿宋_GB2312" w:hAnsi="仿宋" w:eastAsia="仿宋_GB2312"/>
          <w:b/>
          <w:color w:val="FF0000"/>
          <w:sz w:val="30"/>
          <w:szCs w:val="30"/>
        </w:rPr>
        <w:t>投标供应商应对照</w:t>
      </w:r>
      <w:r>
        <w:rPr>
          <w:rFonts w:hint="eastAsia" w:ascii="仿宋_GB2312" w:hAnsi="黑体" w:eastAsia="仿宋_GB2312"/>
          <w:b/>
          <w:color w:val="FF0000"/>
          <w:sz w:val="30"/>
          <w:szCs w:val="30"/>
        </w:rPr>
        <w:t>合格投标人资格要求逐一提供资料，缺一不可；并</w:t>
      </w:r>
      <w:r>
        <w:rPr>
          <w:rFonts w:hint="eastAsia" w:ascii="仿宋_GB2312" w:hAnsi="仿宋" w:eastAsia="仿宋_GB2312"/>
          <w:b/>
          <w:color w:val="FF0000"/>
          <w:sz w:val="30"/>
          <w:szCs w:val="30"/>
        </w:rPr>
        <w:t>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exact"/>
        <w:ind w:firstLine="600"/>
        <w:jc w:val="right"/>
        <w:rPr>
          <w:rFonts w:ascii="仿宋_GB2312" w:hAnsi="仿宋" w:eastAsia="仿宋_GB2312"/>
          <w:sz w:val="30"/>
          <w:szCs w:val="30"/>
        </w:rPr>
      </w:pPr>
    </w:p>
    <w:p>
      <w:pPr>
        <w:spacing w:line="560" w:lineRule="exact"/>
        <w:ind w:firstLine="600"/>
        <w:jc w:val="right"/>
        <w:rPr>
          <w:rFonts w:ascii="仿宋_GB2312" w:hAnsi="仿宋" w:eastAsia="仿宋_GB2312"/>
          <w:sz w:val="30"/>
          <w:szCs w:val="30"/>
        </w:rPr>
      </w:pPr>
    </w:p>
    <w:p>
      <w:pPr>
        <w:spacing w:line="560" w:lineRule="exact"/>
        <w:ind w:firstLine="600"/>
        <w:jc w:val="right"/>
        <w:rPr>
          <w:rFonts w:ascii="仿宋_GB2312" w:hAnsi="仿宋" w:eastAsia="仿宋_GB2312"/>
          <w:sz w:val="30"/>
          <w:szCs w:val="30"/>
        </w:rPr>
      </w:pPr>
      <w:r>
        <w:rPr>
          <w:rFonts w:hint="eastAsia" w:ascii="仿宋_GB2312" w:hAnsi="仿宋" w:eastAsia="仿宋_GB2312"/>
          <w:sz w:val="30"/>
          <w:szCs w:val="30"/>
        </w:rPr>
        <w:t>昆明市西山区人民医院</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2024年5月27日</w:t>
      </w:r>
    </w:p>
    <w:p>
      <w:pPr>
        <w:spacing w:line="560" w:lineRule="exact"/>
        <w:ind w:firstLine="0" w:firstLineChars="0"/>
        <w:rPr>
          <w:rFonts w:ascii="仿宋_GB2312" w:hAnsi="仿宋_GB2312" w:eastAsia="仿宋_GB2312" w:cs="仿宋_GB2312"/>
          <w:color w:val="000000" w:themeColor="text1"/>
          <w:sz w:val="32"/>
          <w:szCs w:val="32"/>
        </w:rPr>
      </w:pPr>
    </w:p>
    <w:p>
      <w:pPr>
        <w:spacing w:line="560" w:lineRule="exact"/>
        <w:ind w:firstLine="0" w:firstLineChars="0"/>
        <w:rPr>
          <w:rFonts w:ascii="仿宋_GB2312" w:hAnsi="仿宋" w:eastAsia="仿宋_GB2312" w:cs="Calibri"/>
          <w:sz w:val="32"/>
          <w:szCs w:val="32"/>
        </w:rPr>
      </w:pPr>
      <w:r>
        <w:rPr>
          <w:rFonts w:hint="eastAsia" w:ascii="仿宋_GB2312" w:hAnsi="仿宋_GB2312" w:eastAsia="仿宋_GB2312" w:cs="仿宋_GB2312"/>
          <w:color w:val="000000" w:themeColor="text1"/>
          <w:sz w:val="32"/>
          <w:szCs w:val="32"/>
        </w:rPr>
        <w:t>附件</w:t>
      </w:r>
    </w:p>
    <w:p>
      <w:pPr>
        <w:spacing w:line="560" w:lineRule="exact"/>
        <w:ind w:firstLine="0" w:firstLineChars="0"/>
        <w:jc w:val="center"/>
        <w:rPr>
          <w:rFonts w:hint="eastAsia"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bCs/>
          <w:sz w:val="44"/>
          <w:szCs w:val="44"/>
        </w:rPr>
        <w:t>急诊内科床旁POCT检测仪</w:t>
      </w:r>
      <w:r>
        <w:rPr>
          <w:rFonts w:hint="eastAsia" w:ascii="方正小标宋简体" w:hAnsi="方正小标宋简体" w:eastAsia="方正小标宋简体" w:cs="方正小标宋简体"/>
          <w:b/>
          <w:sz w:val="44"/>
          <w:szCs w:val="44"/>
          <w:lang w:eastAsia="zh-CN"/>
        </w:rPr>
        <w:t>技术参数</w:t>
      </w:r>
    </w:p>
    <w:tbl>
      <w:tblPr>
        <w:tblStyle w:val="10"/>
        <w:tblW w:w="8894" w:type="dxa"/>
        <w:jc w:val="center"/>
        <w:tblInd w:w="-3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780"/>
        <w:gridCol w:w="6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项目名称</w:t>
            </w:r>
          </w:p>
        </w:tc>
        <w:tc>
          <w:tcPr>
            <w:tcW w:w="78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数量</w:t>
            </w:r>
          </w:p>
        </w:tc>
        <w:tc>
          <w:tcPr>
            <w:tcW w:w="6929"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化学发光免疫分析仪</w:t>
            </w:r>
          </w:p>
        </w:tc>
        <w:tc>
          <w:tcPr>
            <w:tcW w:w="78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1台</w:t>
            </w:r>
          </w:p>
        </w:tc>
        <w:tc>
          <w:tcPr>
            <w:tcW w:w="6929" w:type="dxa"/>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1、测试原理：吖啶酯化学发光；</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bCs/>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2、*检测速度：≧</w:t>
            </w:r>
            <w:r>
              <w:rPr>
                <w:rFonts w:hint="eastAsia" w:asciiTheme="minorEastAsia" w:hAnsiTheme="minorEastAsia" w:eastAsiaTheme="minorEastAsia" w:cstheme="minorEastAsia"/>
                <w:bCs/>
                <w:color w:val="0C0C0C" w:themeColor="text1" w:themeTint="F2"/>
                <w:sz w:val="21"/>
                <w:szCs w:val="21"/>
              </w:rPr>
              <w:t>150T/H；</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bCs/>
                <w:color w:val="0C0C0C" w:themeColor="text1" w:themeTint="F2"/>
                <w:sz w:val="21"/>
                <w:szCs w:val="21"/>
              </w:rPr>
              <w:t>3、*</w:t>
            </w:r>
            <w:r>
              <w:rPr>
                <w:rFonts w:hint="eastAsia" w:asciiTheme="minorEastAsia" w:hAnsiTheme="minorEastAsia" w:eastAsiaTheme="minorEastAsia" w:cstheme="minorEastAsia"/>
                <w:bCs/>
                <w:color w:val="0C0C0C" w:themeColor="text1" w:themeTint="F2"/>
                <w:sz w:val="21"/>
                <w:szCs w:val="21"/>
                <w:lang w:val="de-DE"/>
              </w:rPr>
              <w:t>最快出结果时间：</w:t>
            </w:r>
            <w:r>
              <w:rPr>
                <w:rFonts w:hint="eastAsia" w:asciiTheme="minorEastAsia" w:hAnsiTheme="minorEastAsia" w:eastAsiaTheme="minorEastAsia" w:cstheme="minorEastAsia"/>
                <w:bCs/>
                <w:color w:val="0C0C0C" w:themeColor="text1" w:themeTint="F2"/>
                <w:sz w:val="21"/>
                <w:szCs w:val="21"/>
              </w:rPr>
              <w:t xml:space="preserve">≦ </w:t>
            </w:r>
            <w:r>
              <w:rPr>
                <w:rFonts w:hint="eastAsia" w:asciiTheme="minorEastAsia" w:hAnsiTheme="minorEastAsia" w:eastAsiaTheme="minorEastAsia" w:cstheme="minorEastAsia"/>
                <w:bCs/>
                <w:color w:val="0C0C0C" w:themeColor="text1" w:themeTint="F2"/>
                <w:sz w:val="21"/>
                <w:szCs w:val="21"/>
                <w:lang w:val="de-DE"/>
              </w:rPr>
              <w:t>12min</w:t>
            </w:r>
            <w:r>
              <w:rPr>
                <w:rFonts w:hint="eastAsia" w:asciiTheme="minorEastAsia" w:hAnsiTheme="minorEastAsia" w:eastAsiaTheme="minorEastAsia" w:cstheme="minorEastAsia"/>
                <w:bCs/>
                <w:color w:val="0C0C0C" w:themeColor="text1" w:themeTint="F2"/>
                <w:sz w:val="21"/>
                <w:szCs w:val="21"/>
              </w:rPr>
              <w:t>；</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bCs/>
                <w:color w:val="0C0C0C" w:themeColor="text1" w:themeTint="F2"/>
                <w:sz w:val="21"/>
                <w:szCs w:val="21"/>
              </w:rPr>
              <w:t>4、同时分析项目：≧14个项目</w:t>
            </w:r>
            <w:r>
              <w:rPr>
                <w:rFonts w:hint="eastAsia" w:asciiTheme="minorEastAsia" w:hAnsiTheme="minorEastAsia" w:eastAsiaTheme="minorEastAsia" w:cstheme="minorEastAsia"/>
                <w:color w:val="0C0C0C" w:themeColor="text1" w:themeTint="F2"/>
                <w:sz w:val="21"/>
                <w:szCs w:val="21"/>
              </w:rPr>
              <w:t>；</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5、进样仓：轨道式进样，样本位≧ 50个，可以连续添加样本；</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bCs/>
                <w:color w:val="0C0C0C" w:themeColor="text1" w:themeTint="F2"/>
                <w:sz w:val="21"/>
                <w:szCs w:val="21"/>
              </w:rPr>
              <w:t>6、*仪器具备采血管自动上样，自动摇匀，自动脱帽功能</w:t>
            </w:r>
            <w:r>
              <w:rPr>
                <w:rFonts w:hint="eastAsia" w:asciiTheme="minorEastAsia" w:hAnsiTheme="minorEastAsia" w:eastAsiaTheme="minorEastAsia" w:cstheme="minorEastAsia"/>
                <w:bCs/>
                <w:color w:val="0C0C0C" w:themeColor="text1" w:themeTint="F2"/>
                <w:sz w:val="21"/>
                <w:szCs w:val="21"/>
                <w:lang w:val="de-DE"/>
              </w:rPr>
              <w:t>；</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b/>
                <w:bCs/>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7、仪器试剂位:≧ 14个</w:t>
            </w:r>
            <w:r>
              <w:rPr>
                <w:rFonts w:hint="eastAsia" w:asciiTheme="minorEastAsia" w:hAnsiTheme="minorEastAsia" w:eastAsiaTheme="minorEastAsia" w:cstheme="minorEastAsia"/>
                <w:b/>
                <w:bCs/>
                <w:color w:val="0C0C0C" w:themeColor="text1" w:themeTint="F2"/>
                <w:sz w:val="21"/>
                <w:szCs w:val="21"/>
              </w:rPr>
              <w:t>；</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bCs/>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8、试剂仓：冷藏温度2-8℃</w:t>
            </w:r>
            <w:r>
              <w:rPr>
                <w:rFonts w:hint="eastAsia" w:asciiTheme="minorEastAsia" w:hAnsiTheme="minorEastAsia" w:eastAsiaTheme="minorEastAsia" w:cstheme="minorEastAsia"/>
                <w:bCs/>
                <w:color w:val="0C0C0C" w:themeColor="text1" w:themeTint="F2"/>
                <w:sz w:val="21"/>
                <w:szCs w:val="21"/>
              </w:rPr>
              <w:t>；</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bCs/>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9、样本类型：全血、外周末梢血、血清、血浆、尿液</w:t>
            </w:r>
            <w:r>
              <w:rPr>
                <w:rFonts w:hint="eastAsia" w:asciiTheme="minorEastAsia" w:hAnsiTheme="minorEastAsia" w:eastAsiaTheme="minorEastAsia" w:cstheme="minorEastAsia"/>
                <w:bCs/>
                <w:color w:val="0C0C0C" w:themeColor="text1" w:themeTint="F2"/>
                <w:sz w:val="21"/>
                <w:szCs w:val="21"/>
              </w:rPr>
              <w:t>；</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bCs/>
                <w:color w:val="0C0C0C" w:themeColor="text1" w:themeTint="F2"/>
                <w:sz w:val="21"/>
                <w:szCs w:val="21"/>
              </w:rPr>
              <w:t>10、*HCT检测模块，精准测量红细胞压积，保证全血检测准确；</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11、试剂针技术: 采用钢针加样，具有液面探测、随量跟踪、立体防撞、气泡检测等功能；</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12、*加样针：一次性TIP，拒绝携带污染；</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bCs/>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13、</w:t>
            </w:r>
            <w:r>
              <w:rPr>
                <w:rFonts w:hint="eastAsia" w:asciiTheme="minorEastAsia" w:hAnsiTheme="minorEastAsia" w:eastAsiaTheme="minorEastAsia" w:cstheme="minorEastAsia"/>
                <w:bCs/>
                <w:color w:val="0C0C0C" w:themeColor="text1" w:themeTint="F2"/>
                <w:sz w:val="21"/>
                <w:szCs w:val="21"/>
              </w:rPr>
              <w:t>反应杯材质：一次性塑料杯；</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14、反应盘恒温方式：采用恒温槽固体直热，日常免维护保养；</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15、混匀方式：非接触式偏心涡旋混匀；</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16、磁分离系统：洗涤次数3次，具备底物注入功能；</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17、耗材不停机自动更换；</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18、*试剂位与样本位相互独立，避免交叉污染</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19、仪器系统接口：TCP/IP网络接口、标准RS-232C、USB 2.0接口 ；</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bCs/>
                <w:color w:val="0C0C0C" w:themeColor="text1" w:themeTint="F2"/>
                <w:sz w:val="21"/>
                <w:szCs w:val="21"/>
              </w:rPr>
              <w:t>20、自动报警，诊断，可与LIS系统连接；</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21、校准模式内置主曲线，二维码识别，配套校准品校正;4PLC定量分析算法cutoff定性分析算法；</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0C0C0C" w:themeColor="text1" w:themeTint="F2"/>
                <w:sz w:val="21"/>
                <w:szCs w:val="21"/>
              </w:rPr>
            </w:pPr>
            <w:r>
              <w:rPr>
                <w:rFonts w:hint="eastAsia" w:asciiTheme="minorEastAsia" w:hAnsiTheme="minorEastAsia" w:eastAsiaTheme="minorEastAsia" w:cstheme="minorEastAsia"/>
                <w:color w:val="0C0C0C" w:themeColor="text1" w:themeTint="F2"/>
                <w:sz w:val="21"/>
                <w:szCs w:val="21"/>
              </w:rPr>
              <w:t>22、*尺寸：625X660X690mm；重量：75KG；</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0C0C0C" w:themeColor="text1" w:themeTint="F2"/>
                <w:sz w:val="21"/>
                <w:szCs w:val="21"/>
              </w:rPr>
              <w:t>23、*检测项目：具备心肌标志物（高敏肌钙蛋白I，高敏肌钙蛋白T，BNP，NT-pro BNP,CK-MB，MYO、D二聚体）、炎症(CRP、SAA、PCT、IL-6、HBP），甲状腺功能，性激素，肿瘤标志物，骨代谢，术前八项，糖代谢，高血压，血栓等检测。</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sz w:val="21"/>
                <w:szCs w:val="21"/>
                <w:highlight w:val="yellow"/>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eastAsiaTheme="minorEastAsia" w:cstheme="minorEastAsia"/>
                <w:color w:val="FF0000"/>
                <w:sz w:val="21"/>
                <w:szCs w:val="21"/>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Theme="minorEastAsia" w:hAnsiTheme="minorEastAsia" w:eastAsiaTheme="minorEastAsia" w:cstheme="minorEastAsia"/>
                <w:sz w:val="21"/>
                <w:szCs w:val="21"/>
              </w:rPr>
            </w:pPr>
          </w:p>
        </w:tc>
      </w:tr>
    </w:tbl>
    <w:p>
      <w:pPr>
        <w:spacing w:line="560" w:lineRule="exact"/>
        <w:ind w:firstLine="0" w:firstLineChars="0"/>
        <w:jc w:val="left"/>
        <w:rPr>
          <w:rFonts w:ascii="仿宋_GB2312" w:eastAsia="仿宋_GB2312"/>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40311"/>
    </w:sdtPr>
    <w:sdtContent>
      <w:p>
        <w:pPr>
          <w:pStyle w:val="6"/>
          <w:ind w:firstLine="360"/>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B3537"/>
    <w:rsid w:val="0000047E"/>
    <w:rsid w:val="00001D2A"/>
    <w:rsid w:val="000068E2"/>
    <w:rsid w:val="00007B7E"/>
    <w:rsid w:val="00010C42"/>
    <w:rsid w:val="0003127D"/>
    <w:rsid w:val="00036001"/>
    <w:rsid w:val="00040573"/>
    <w:rsid w:val="00040D70"/>
    <w:rsid w:val="00043D76"/>
    <w:rsid w:val="0005192B"/>
    <w:rsid w:val="00057304"/>
    <w:rsid w:val="00057DB4"/>
    <w:rsid w:val="000628C1"/>
    <w:rsid w:val="00062C10"/>
    <w:rsid w:val="00064510"/>
    <w:rsid w:val="00064A82"/>
    <w:rsid w:val="00071D6D"/>
    <w:rsid w:val="00073CCD"/>
    <w:rsid w:val="000748D5"/>
    <w:rsid w:val="00081F36"/>
    <w:rsid w:val="000836B2"/>
    <w:rsid w:val="00084ACF"/>
    <w:rsid w:val="00084F86"/>
    <w:rsid w:val="000A6D68"/>
    <w:rsid w:val="000A6EF5"/>
    <w:rsid w:val="000B19B0"/>
    <w:rsid w:val="000B44CD"/>
    <w:rsid w:val="000B6A9F"/>
    <w:rsid w:val="000C7C90"/>
    <w:rsid w:val="000D03A0"/>
    <w:rsid w:val="000E67C1"/>
    <w:rsid w:val="000F0045"/>
    <w:rsid w:val="000F0A33"/>
    <w:rsid w:val="000F51D5"/>
    <w:rsid w:val="001131E1"/>
    <w:rsid w:val="0011333D"/>
    <w:rsid w:val="00115E24"/>
    <w:rsid w:val="00116420"/>
    <w:rsid w:val="00116C8D"/>
    <w:rsid w:val="00137746"/>
    <w:rsid w:val="001516EE"/>
    <w:rsid w:val="00153E28"/>
    <w:rsid w:val="00154BFD"/>
    <w:rsid w:val="00161288"/>
    <w:rsid w:val="001623EA"/>
    <w:rsid w:val="00164418"/>
    <w:rsid w:val="00164B65"/>
    <w:rsid w:val="00164D9F"/>
    <w:rsid w:val="001671C4"/>
    <w:rsid w:val="00170FA7"/>
    <w:rsid w:val="00174037"/>
    <w:rsid w:val="00174FBD"/>
    <w:rsid w:val="0017710E"/>
    <w:rsid w:val="00185C42"/>
    <w:rsid w:val="001908BB"/>
    <w:rsid w:val="00193DE5"/>
    <w:rsid w:val="001973F0"/>
    <w:rsid w:val="001B0788"/>
    <w:rsid w:val="001B6C7A"/>
    <w:rsid w:val="001C0D8A"/>
    <w:rsid w:val="001C1F76"/>
    <w:rsid w:val="001C1FC7"/>
    <w:rsid w:val="001C32C4"/>
    <w:rsid w:val="001C694A"/>
    <w:rsid w:val="001D3064"/>
    <w:rsid w:val="001D4A58"/>
    <w:rsid w:val="001E1A88"/>
    <w:rsid w:val="001E3681"/>
    <w:rsid w:val="001E62C2"/>
    <w:rsid w:val="001F0CEB"/>
    <w:rsid w:val="001F0FFC"/>
    <w:rsid w:val="001F2F52"/>
    <w:rsid w:val="001F32F9"/>
    <w:rsid w:val="001F5179"/>
    <w:rsid w:val="0020754D"/>
    <w:rsid w:val="00207A3B"/>
    <w:rsid w:val="0021073C"/>
    <w:rsid w:val="00217506"/>
    <w:rsid w:val="00217AEF"/>
    <w:rsid w:val="00217B8C"/>
    <w:rsid w:val="002231AD"/>
    <w:rsid w:val="0022753B"/>
    <w:rsid w:val="00232E49"/>
    <w:rsid w:val="00235A32"/>
    <w:rsid w:val="0023765C"/>
    <w:rsid w:val="00242819"/>
    <w:rsid w:val="00242DF7"/>
    <w:rsid w:val="0025354F"/>
    <w:rsid w:val="00253F19"/>
    <w:rsid w:val="002562E5"/>
    <w:rsid w:val="002568E8"/>
    <w:rsid w:val="00262DD4"/>
    <w:rsid w:val="00264637"/>
    <w:rsid w:val="00266FD5"/>
    <w:rsid w:val="00271E6C"/>
    <w:rsid w:val="00276E9D"/>
    <w:rsid w:val="00282DF6"/>
    <w:rsid w:val="00291053"/>
    <w:rsid w:val="00291866"/>
    <w:rsid w:val="00293172"/>
    <w:rsid w:val="00294EB5"/>
    <w:rsid w:val="002A0C9C"/>
    <w:rsid w:val="002A1D1E"/>
    <w:rsid w:val="002A1DAF"/>
    <w:rsid w:val="002A22F5"/>
    <w:rsid w:val="002A3430"/>
    <w:rsid w:val="002A6809"/>
    <w:rsid w:val="002A6BA5"/>
    <w:rsid w:val="002A7F61"/>
    <w:rsid w:val="002B0D9C"/>
    <w:rsid w:val="002B158C"/>
    <w:rsid w:val="002B3649"/>
    <w:rsid w:val="002B6934"/>
    <w:rsid w:val="002C15F4"/>
    <w:rsid w:val="002D3B91"/>
    <w:rsid w:val="00300B21"/>
    <w:rsid w:val="00301242"/>
    <w:rsid w:val="00305505"/>
    <w:rsid w:val="00307B4F"/>
    <w:rsid w:val="00314B0E"/>
    <w:rsid w:val="00322EBD"/>
    <w:rsid w:val="00323E62"/>
    <w:rsid w:val="003266D6"/>
    <w:rsid w:val="003303EA"/>
    <w:rsid w:val="00331E6A"/>
    <w:rsid w:val="0033558D"/>
    <w:rsid w:val="00335683"/>
    <w:rsid w:val="003415E4"/>
    <w:rsid w:val="00346ED8"/>
    <w:rsid w:val="00350180"/>
    <w:rsid w:val="0035043A"/>
    <w:rsid w:val="0035081D"/>
    <w:rsid w:val="00352262"/>
    <w:rsid w:val="00355F94"/>
    <w:rsid w:val="0036045D"/>
    <w:rsid w:val="00361FED"/>
    <w:rsid w:val="00367A36"/>
    <w:rsid w:val="003759CB"/>
    <w:rsid w:val="003771CC"/>
    <w:rsid w:val="003777F8"/>
    <w:rsid w:val="00383FFA"/>
    <w:rsid w:val="003854C4"/>
    <w:rsid w:val="0038582E"/>
    <w:rsid w:val="003879E0"/>
    <w:rsid w:val="0039108A"/>
    <w:rsid w:val="00391BAE"/>
    <w:rsid w:val="00391BF1"/>
    <w:rsid w:val="003A6313"/>
    <w:rsid w:val="003A6B38"/>
    <w:rsid w:val="003B2A75"/>
    <w:rsid w:val="003C05E3"/>
    <w:rsid w:val="003C1758"/>
    <w:rsid w:val="003C26A7"/>
    <w:rsid w:val="003C41F0"/>
    <w:rsid w:val="003D287B"/>
    <w:rsid w:val="003D5076"/>
    <w:rsid w:val="003E33BA"/>
    <w:rsid w:val="003E6797"/>
    <w:rsid w:val="003F300C"/>
    <w:rsid w:val="003F5658"/>
    <w:rsid w:val="003F6E16"/>
    <w:rsid w:val="003F746B"/>
    <w:rsid w:val="003F7ACC"/>
    <w:rsid w:val="00400E31"/>
    <w:rsid w:val="00403790"/>
    <w:rsid w:val="00405561"/>
    <w:rsid w:val="0040650F"/>
    <w:rsid w:val="00406615"/>
    <w:rsid w:val="00416CB5"/>
    <w:rsid w:val="00416FF4"/>
    <w:rsid w:val="004203CA"/>
    <w:rsid w:val="00431E2C"/>
    <w:rsid w:val="00436F99"/>
    <w:rsid w:val="0044295E"/>
    <w:rsid w:val="00444734"/>
    <w:rsid w:val="00446AA7"/>
    <w:rsid w:val="004528AB"/>
    <w:rsid w:val="00455794"/>
    <w:rsid w:val="00455ADC"/>
    <w:rsid w:val="00457EEF"/>
    <w:rsid w:val="00464AA3"/>
    <w:rsid w:val="00464D3E"/>
    <w:rsid w:val="00465633"/>
    <w:rsid w:val="0047386C"/>
    <w:rsid w:val="004774B6"/>
    <w:rsid w:val="00481A9E"/>
    <w:rsid w:val="00485D4A"/>
    <w:rsid w:val="0049039C"/>
    <w:rsid w:val="00492C29"/>
    <w:rsid w:val="0049651E"/>
    <w:rsid w:val="004B43B0"/>
    <w:rsid w:val="004D010F"/>
    <w:rsid w:val="004D0E4F"/>
    <w:rsid w:val="004D1519"/>
    <w:rsid w:val="004D64F9"/>
    <w:rsid w:val="004E0242"/>
    <w:rsid w:val="004E654C"/>
    <w:rsid w:val="004F243B"/>
    <w:rsid w:val="004F2B01"/>
    <w:rsid w:val="004F4103"/>
    <w:rsid w:val="004F7A53"/>
    <w:rsid w:val="00506F69"/>
    <w:rsid w:val="00507B8F"/>
    <w:rsid w:val="00517555"/>
    <w:rsid w:val="00521FB5"/>
    <w:rsid w:val="0052320E"/>
    <w:rsid w:val="00524743"/>
    <w:rsid w:val="00531AFF"/>
    <w:rsid w:val="005350A7"/>
    <w:rsid w:val="00540425"/>
    <w:rsid w:val="00542F03"/>
    <w:rsid w:val="005453B9"/>
    <w:rsid w:val="0054741A"/>
    <w:rsid w:val="005538CA"/>
    <w:rsid w:val="00554228"/>
    <w:rsid w:val="0056066C"/>
    <w:rsid w:val="00570958"/>
    <w:rsid w:val="005709F7"/>
    <w:rsid w:val="00585F44"/>
    <w:rsid w:val="005973F0"/>
    <w:rsid w:val="005A0C4D"/>
    <w:rsid w:val="005A0C89"/>
    <w:rsid w:val="005A1D32"/>
    <w:rsid w:val="005A2108"/>
    <w:rsid w:val="005B1E79"/>
    <w:rsid w:val="005B277C"/>
    <w:rsid w:val="005B3537"/>
    <w:rsid w:val="005B5B6E"/>
    <w:rsid w:val="005B7469"/>
    <w:rsid w:val="005C2217"/>
    <w:rsid w:val="005C230F"/>
    <w:rsid w:val="005D06ED"/>
    <w:rsid w:val="005D2515"/>
    <w:rsid w:val="005D5D2B"/>
    <w:rsid w:val="005E0572"/>
    <w:rsid w:val="005E18BC"/>
    <w:rsid w:val="005E30FB"/>
    <w:rsid w:val="005E6A90"/>
    <w:rsid w:val="00610960"/>
    <w:rsid w:val="006110F2"/>
    <w:rsid w:val="00612622"/>
    <w:rsid w:val="006143A1"/>
    <w:rsid w:val="00614D43"/>
    <w:rsid w:val="00614F2F"/>
    <w:rsid w:val="00617444"/>
    <w:rsid w:val="00620781"/>
    <w:rsid w:val="00622A65"/>
    <w:rsid w:val="00622C8A"/>
    <w:rsid w:val="006272F8"/>
    <w:rsid w:val="00636F8F"/>
    <w:rsid w:val="0063762D"/>
    <w:rsid w:val="00637C76"/>
    <w:rsid w:val="006409EB"/>
    <w:rsid w:val="00654522"/>
    <w:rsid w:val="006565D2"/>
    <w:rsid w:val="00660271"/>
    <w:rsid w:val="00664297"/>
    <w:rsid w:val="006648B2"/>
    <w:rsid w:val="00676C5D"/>
    <w:rsid w:val="00691DFE"/>
    <w:rsid w:val="00692940"/>
    <w:rsid w:val="0069314B"/>
    <w:rsid w:val="006943BF"/>
    <w:rsid w:val="0069502F"/>
    <w:rsid w:val="00697059"/>
    <w:rsid w:val="006A0D88"/>
    <w:rsid w:val="006A48EE"/>
    <w:rsid w:val="006A6C07"/>
    <w:rsid w:val="006B309D"/>
    <w:rsid w:val="006B5F6D"/>
    <w:rsid w:val="006B73C7"/>
    <w:rsid w:val="006C104B"/>
    <w:rsid w:val="006C1FE9"/>
    <w:rsid w:val="006C61F5"/>
    <w:rsid w:val="006D49CB"/>
    <w:rsid w:val="006D58F9"/>
    <w:rsid w:val="006D6743"/>
    <w:rsid w:val="006D7A64"/>
    <w:rsid w:val="006E35F4"/>
    <w:rsid w:val="006E3671"/>
    <w:rsid w:val="006F660F"/>
    <w:rsid w:val="006F7721"/>
    <w:rsid w:val="007114FF"/>
    <w:rsid w:val="00712107"/>
    <w:rsid w:val="0071486C"/>
    <w:rsid w:val="007202F5"/>
    <w:rsid w:val="00721E44"/>
    <w:rsid w:val="00724951"/>
    <w:rsid w:val="00725344"/>
    <w:rsid w:val="007267A9"/>
    <w:rsid w:val="00730714"/>
    <w:rsid w:val="007314C1"/>
    <w:rsid w:val="00731943"/>
    <w:rsid w:val="00734BC0"/>
    <w:rsid w:val="00736406"/>
    <w:rsid w:val="00740C7B"/>
    <w:rsid w:val="00750F2E"/>
    <w:rsid w:val="00756B2D"/>
    <w:rsid w:val="007573C7"/>
    <w:rsid w:val="00761027"/>
    <w:rsid w:val="007613A6"/>
    <w:rsid w:val="00763E19"/>
    <w:rsid w:val="00763EAE"/>
    <w:rsid w:val="00764478"/>
    <w:rsid w:val="00767C61"/>
    <w:rsid w:val="00771F7B"/>
    <w:rsid w:val="00775020"/>
    <w:rsid w:val="00777FBB"/>
    <w:rsid w:val="00781DA2"/>
    <w:rsid w:val="00781F19"/>
    <w:rsid w:val="0078331C"/>
    <w:rsid w:val="00783C00"/>
    <w:rsid w:val="00784D63"/>
    <w:rsid w:val="00784E56"/>
    <w:rsid w:val="00792378"/>
    <w:rsid w:val="00792F51"/>
    <w:rsid w:val="0079336E"/>
    <w:rsid w:val="00794AE1"/>
    <w:rsid w:val="00795005"/>
    <w:rsid w:val="007A4DD1"/>
    <w:rsid w:val="007B0418"/>
    <w:rsid w:val="007B4A83"/>
    <w:rsid w:val="007C13FF"/>
    <w:rsid w:val="007C4442"/>
    <w:rsid w:val="007C47BC"/>
    <w:rsid w:val="007C5163"/>
    <w:rsid w:val="007C646B"/>
    <w:rsid w:val="007D10D4"/>
    <w:rsid w:val="007D272F"/>
    <w:rsid w:val="007D64D1"/>
    <w:rsid w:val="007D7EBB"/>
    <w:rsid w:val="007F177C"/>
    <w:rsid w:val="007F5E6F"/>
    <w:rsid w:val="008035BF"/>
    <w:rsid w:val="008050E0"/>
    <w:rsid w:val="0080519B"/>
    <w:rsid w:val="00806C63"/>
    <w:rsid w:val="00807BE8"/>
    <w:rsid w:val="00814E1E"/>
    <w:rsid w:val="008277C0"/>
    <w:rsid w:val="00834EFB"/>
    <w:rsid w:val="0084495F"/>
    <w:rsid w:val="0084697B"/>
    <w:rsid w:val="00847AAA"/>
    <w:rsid w:val="008509BC"/>
    <w:rsid w:val="00851E3E"/>
    <w:rsid w:val="00851E9A"/>
    <w:rsid w:val="00853D09"/>
    <w:rsid w:val="00863CC6"/>
    <w:rsid w:val="00864FD2"/>
    <w:rsid w:val="008666F8"/>
    <w:rsid w:val="008671DF"/>
    <w:rsid w:val="00870D9F"/>
    <w:rsid w:val="008730DE"/>
    <w:rsid w:val="00873D98"/>
    <w:rsid w:val="008760A4"/>
    <w:rsid w:val="00884848"/>
    <w:rsid w:val="00886ED1"/>
    <w:rsid w:val="00890260"/>
    <w:rsid w:val="00890381"/>
    <w:rsid w:val="0089167B"/>
    <w:rsid w:val="00896597"/>
    <w:rsid w:val="008A65AF"/>
    <w:rsid w:val="008B11B1"/>
    <w:rsid w:val="008D0674"/>
    <w:rsid w:val="008D3109"/>
    <w:rsid w:val="008D3D7B"/>
    <w:rsid w:val="008D52DD"/>
    <w:rsid w:val="008D636B"/>
    <w:rsid w:val="008E0D99"/>
    <w:rsid w:val="008E1F57"/>
    <w:rsid w:val="008E2753"/>
    <w:rsid w:val="008E29A1"/>
    <w:rsid w:val="008F5E66"/>
    <w:rsid w:val="00902A3F"/>
    <w:rsid w:val="00905318"/>
    <w:rsid w:val="009179CE"/>
    <w:rsid w:val="00917A99"/>
    <w:rsid w:val="00924A60"/>
    <w:rsid w:val="00924CD6"/>
    <w:rsid w:val="00925E56"/>
    <w:rsid w:val="0093373A"/>
    <w:rsid w:val="00934B35"/>
    <w:rsid w:val="00940745"/>
    <w:rsid w:val="009467AE"/>
    <w:rsid w:val="009500FD"/>
    <w:rsid w:val="00951C5F"/>
    <w:rsid w:val="00952EB8"/>
    <w:rsid w:val="0096001C"/>
    <w:rsid w:val="0096571D"/>
    <w:rsid w:val="00976CDB"/>
    <w:rsid w:val="00977BA2"/>
    <w:rsid w:val="009815B6"/>
    <w:rsid w:val="009837C1"/>
    <w:rsid w:val="00984590"/>
    <w:rsid w:val="00984821"/>
    <w:rsid w:val="00992123"/>
    <w:rsid w:val="009A6A72"/>
    <w:rsid w:val="009B1023"/>
    <w:rsid w:val="009B1BB8"/>
    <w:rsid w:val="009B226F"/>
    <w:rsid w:val="009B3AA5"/>
    <w:rsid w:val="009B50A2"/>
    <w:rsid w:val="009B5927"/>
    <w:rsid w:val="009B7B6F"/>
    <w:rsid w:val="009C2BF1"/>
    <w:rsid w:val="009D372F"/>
    <w:rsid w:val="009D4E88"/>
    <w:rsid w:val="009E7F1F"/>
    <w:rsid w:val="009F70FA"/>
    <w:rsid w:val="00A00132"/>
    <w:rsid w:val="00A01C2F"/>
    <w:rsid w:val="00A0212E"/>
    <w:rsid w:val="00A03407"/>
    <w:rsid w:val="00A05E53"/>
    <w:rsid w:val="00A11580"/>
    <w:rsid w:val="00A12E30"/>
    <w:rsid w:val="00A1370D"/>
    <w:rsid w:val="00A13A9D"/>
    <w:rsid w:val="00A14CC9"/>
    <w:rsid w:val="00A16DB6"/>
    <w:rsid w:val="00A17010"/>
    <w:rsid w:val="00A17B7B"/>
    <w:rsid w:val="00A25D4D"/>
    <w:rsid w:val="00A275D2"/>
    <w:rsid w:val="00A32E00"/>
    <w:rsid w:val="00A332C7"/>
    <w:rsid w:val="00A3691B"/>
    <w:rsid w:val="00A4204C"/>
    <w:rsid w:val="00A44CA2"/>
    <w:rsid w:val="00A56B26"/>
    <w:rsid w:val="00A629B8"/>
    <w:rsid w:val="00A6339B"/>
    <w:rsid w:val="00A63881"/>
    <w:rsid w:val="00A63C77"/>
    <w:rsid w:val="00A647AA"/>
    <w:rsid w:val="00A71624"/>
    <w:rsid w:val="00A71EBA"/>
    <w:rsid w:val="00A72013"/>
    <w:rsid w:val="00A74D1F"/>
    <w:rsid w:val="00A764C4"/>
    <w:rsid w:val="00A76EF6"/>
    <w:rsid w:val="00A776E0"/>
    <w:rsid w:val="00A777F3"/>
    <w:rsid w:val="00A80644"/>
    <w:rsid w:val="00A810D4"/>
    <w:rsid w:val="00A821C8"/>
    <w:rsid w:val="00A83D8E"/>
    <w:rsid w:val="00A84CC2"/>
    <w:rsid w:val="00A84F22"/>
    <w:rsid w:val="00A85DE2"/>
    <w:rsid w:val="00A92D61"/>
    <w:rsid w:val="00A94C45"/>
    <w:rsid w:val="00A97BD8"/>
    <w:rsid w:val="00AA3D1D"/>
    <w:rsid w:val="00AA4FC9"/>
    <w:rsid w:val="00AB0AD7"/>
    <w:rsid w:val="00AB53AE"/>
    <w:rsid w:val="00AC118B"/>
    <w:rsid w:val="00AC1C71"/>
    <w:rsid w:val="00AC5302"/>
    <w:rsid w:val="00AC5AB8"/>
    <w:rsid w:val="00AD1515"/>
    <w:rsid w:val="00AE1B3F"/>
    <w:rsid w:val="00AF1051"/>
    <w:rsid w:val="00AF16CD"/>
    <w:rsid w:val="00AF57D5"/>
    <w:rsid w:val="00B1241D"/>
    <w:rsid w:val="00B12960"/>
    <w:rsid w:val="00B1384D"/>
    <w:rsid w:val="00B13AA0"/>
    <w:rsid w:val="00B17049"/>
    <w:rsid w:val="00B35362"/>
    <w:rsid w:val="00B35411"/>
    <w:rsid w:val="00B4124F"/>
    <w:rsid w:val="00B43043"/>
    <w:rsid w:val="00B477D9"/>
    <w:rsid w:val="00B507D3"/>
    <w:rsid w:val="00B51CBC"/>
    <w:rsid w:val="00B53455"/>
    <w:rsid w:val="00B55BF9"/>
    <w:rsid w:val="00B568DD"/>
    <w:rsid w:val="00B602A4"/>
    <w:rsid w:val="00B62D89"/>
    <w:rsid w:val="00B67A3A"/>
    <w:rsid w:val="00B67EF4"/>
    <w:rsid w:val="00B71EFC"/>
    <w:rsid w:val="00B76001"/>
    <w:rsid w:val="00B805F0"/>
    <w:rsid w:val="00B80707"/>
    <w:rsid w:val="00B81821"/>
    <w:rsid w:val="00B83936"/>
    <w:rsid w:val="00B86352"/>
    <w:rsid w:val="00BA34DC"/>
    <w:rsid w:val="00BA3BC3"/>
    <w:rsid w:val="00BA4AD9"/>
    <w:rsid w:val="00BA4E0E"/>
    <w:rsid w:val="00BA53D0"/>
    <w:rsid w:val="00BA7046"/>
    <w:rsid w:val="00BB2543"/>
    <w:rsid w:val="00BB4E52"/>
    <w:rsid w:val="00BB77F3"/>
    <w:rsid w:val="00BB7CB0"/>
    <w:rsid w:val="00BC029F"/>
    <w:rsid w:val="00BC1182"/>
    <w:rsid w:val="00BC19B7"/>
    <w:rsid w:val="00BD23BE"/>
    <w:rsid w:val="00BD2647"/>
    <w:rsid w:val="00BD4D26"/>
    <w:rsid w:val="00BD4FFF"/>
    <w:rsid w:val="00BD77FB"/>
    <w:rsid w:val="00BD7FF7"/>
    <w:rsid w:val="00BE2354"/>
    <w:rsid w:val="00BF5A10"/>
    <w:rsid w:val="00C00D84"/>
    <w:rsid w:val="00C04132"/>
    <w:rsid w:val="00C10BAD"/>
    <w:rsid w:val="00C14C80"/>
    <w:rsid w:val="00C15F65"/>
    <w:rsid w:val="00C20C0A"/>
    <w:rsid w:val="00C2243A"/>
    <w:rsid w:val="00C234C8"/>
    <w:rsid w:val="00C30100"/>
    <w:rsid w:val="00C37774"/>
    <w:rsid w:val="00C427A0"/>
    <w:rsid w:val="00C441AF"/>
    <w:rsid w:val="00C53E29"/>
    <w:rsid w:val="00C63AB7"/>
    <w:rsid w:val="00C755E9"/>
    <w:rsid w:val="00C75DE4"/>
    <w:rsid w:val="00C76B2D"/>
    <w:rsid w:val="00C76E0E"/>
    <w:rsid w:val="00C835CE"/>
    <w:rsid w:val="00C9117F"/>
    <w:rsid w:val="00C91610"/>
    <w:rsid w:val="00C93B5B"/>
    <w:rsid w:val="00C93E23"/>
    <w:rsid w:val="00C958F5"/>
    <w:rsid w:val="00CA24C5"/>
    <w:rsid w:val="00CA2D75"/>
    <w:rsid w:val="00CA381F"/>
    <w:rsid w:val="00CA3A62"/>
    <w:rsid w:val="00CA7229"/>
    <w:rsid w:val="00CB2921"/>
    <w:rsid w:val="00CB4199"/>
    <w:rsid w:val="00CB611C"/>
    <w:rsid w:val="00CB6D57"/>
    <w:rsid w:val="00CC3F2D"/>
    <w:rsid w:val="00CC6644"/>
    <w:rsid w:val="00CE0705"/>
    <w:rsid w:val="00CE530F"/>
    <w:rsid w:val="00CE5B7B"/>
    <w:rsid w:val="00CF0EB1"/>
    <w:rsid w:val="00CF488E"/>
    <w:rsid w:val="00D00C81"/>
    <w:rsid w:val="00D01370"/>
    <w:rsid w:val="00D01DE7"/>
    <w:rsid w:val="00D02981"/>
    <w:rsid w:val="00D03279"/>
    <w:rsid w:val="00D06749"/>
    <w:rsid w:val="00D067F2"/>
    <w:rsid w:val="00D07FF4"/>
    <w:rsid w:val="00D103B0"/>
    <w:rsid w:val="00D104A4"/>
    <w:rsid w:val="00D213DF"/>
    <w:rsid w:val="00D24D9B"/>
    <w:rsid w:val="00D24FC2"/>
    <w:rsid w:val="00D324F3"/>
    <w:rsid w:val="00D348CB"/>
    <w:rsid w:val="00D35144"/>
    <w:rsid w:val="00D37558"/>
    <w:rsid w:val="00D50565"/>
    <w:rsid w:val="00D50EF7"/>
    <w:rsid w:val="00D5322B"/>
    <w:rsid w:val="00D5340B"/>
    <w:rsid w:val="00D53519"/>
    <w:rsid w:val="00D54D75"/>
    <w:rsid w:val="00D54DC0"/>
    <w:rsid w:val="00D56FC4"/>
    <w:rsid w:val="00D669EA"/>
    <w:rsid w:val="00D74A11"/>
    <w:rsid w:val="00D76FFE"/>
    <w:rsid w:val="00D84A4B"/>
    <w:rsid w:val="00D84E62"/>
    <w:rsid w:val="00D86004"/>
    <w:rsid w:val="00D87CB9"/>
    <w:rsid w:val="00DA1044"/>
    <w:rsid w:val="00DB0656"/>
    <w:rsid w:val="00DC0EDA"/>
    <w:rsid w:val="00DD1264"/>
    <w:rsid w:val="00DD28B0"/>
    <w:rsid w:val="00DD2F91"/>
    <w:rsid w:val="00DD361D"/>
    <w:rsid w:val="00DD3A25"/>
    <w:rsid w:val="00DD3A45"/>
    <w:rsid w:val="00DD4D53"/>
    <w:rsid w:val="00DD6197"/>
    <w:rsid w:val="00DE17F7"/>
    <w:rsid w:val="00DE37C8"/>
    <w:rsid w:val="00DE6EAF"/>
    <w:rsid w:val="00E01784"/>
    <w:rsid w:val="00E03804"/>
    <w:rsid w:val="00E13938"/>
    <w:rsid w:val="00E15EC5"/>
    <w:rsid w:val="00E16748"/>
    <w:rsid w:val="00E21CD1"/>
    <w:rsid w:val="00E24982"/>
    <w:rsid w:val="00E33294"/>
    <w:rsid w:val="00E42AF2"/>
    <w:rsid w:val="00E445C2"/>
    <w:rsid w:val="00E473D9"/>
    <w:rsid w:val="00E57B73"/>
    <w:rsid w:val="00E57BE4"/>
    <w:rsid w:val="00E60DFE"/>
    <w:rsid w:val="00E61379"/>
    <w:rsid w:val="00E624A1"/>
    <w:rsid w:val="00E627EC"/>
    <w:rsid w:val="00E62EFE"/>
    <w:rsid w:val="00E64016"/>
    <w:rsid w:val="00E70E06"/>
    <w:rsid w:val="00E71181"/>
    <w:rsid w:val="00E77135"/>
    <w:rsid w:val="00E9003E"/>
    <w:rsid w:val="00E9685A"/>
    <w:rsid w:val="00E97E06"/>
    <w:rsid w:val="00EA1029"/>
    <w:rsid w:val="00EA531A"/>
    <w:rsid w:val="00EA5DC2"/>
    <w:rsid w:val="00EB05F5"/>
    <w:rsid w:val="00EB3E6A"/>
    <w:rsid w:val="00EB74F1"/>
    <w:rsid w:val="00ED7135"/>
    <w:rsid w:val="00EE0258"/>
    <w:rsid w:val="00EE084F"/>
    <w:rsid w:val="00EE1772"/>
    <w:rsid w:val="00EE6648"/>
    <w:rsid w:val="00EE67C4"/>
    <w:rsid w:val="00EF715E"/>
    <w:rsid w:val="00F03DF9"/>
    <w:rsid w:val="00F045FF"/>
    <w:rsid w:val="00F078B5"/>
    <w:rsid w:val="00F124EB"/>
    <w:rsid w:val="00F173EC"/>
    <w:rsid w:val="00F2409C"/>
    <w:rsid w:val="00F34B49"/>
    <w:rsid w:val="00F3665E"/>
    <w:rsid w:val="00F40365"/>
    <w:rsid w:val="00F45692"/>
    <w:rsid w:val="00F6182B"/>
    <w:rsid w:val="00F703F9"/>
    <w:rsid w:val="00F72BF7"/>
    <w:rsid w:val="00F763B7"/>
    <w:rsid w:val="00F80C48"/>
    <w:rsid w:val="00F85E05"/>
    <w:rsid w:val="00F947A0"/>
    <w:rsid w:val="00FA0AE3"/>
    <w:rsid w:val="00FA0F51"/>
    <w:rsid w:val="00FA2601"/>
    <w:rsid w:val="00FA271A"/>
    <w:rsid w:val="00FA4536"/>
    <w:rsid w:val="00FB3B5F"/>
    <w:rsid w:val="00FC09ED"/>
    <w:rsid w:val="00FC1B9D"/>
    <w:rsid w:val="00FC2331"/>
    <w:rsid w:val="00FC4BFA"/>
    <w:rsid w:val="00FC6C8E"/>
    <w:rsid w:val="00FC794F"/>
    <w:rsid w:val="00FD15A8"/>
    <w:rsid w:val="00FD20D1"/>
    <w:rsid w:val="00FD3599"/>
    <w:rsid w:val="00FD3669"/>
    <w:rsid w:val="00FD50D1"/>
    <w:rsid w:val="00FD5FAD"/>
    <w:rsid w:val="00FD6747"/>
    <w:rsid w:val="00FD7192"/>
    <w:rsid w:val="00FE3B20"/>
    <w:rsid w:val="00FF160E"/>
    <w:rsid w:val="00FF1725"/>
    <w:rsid w:val="035F3953"/>
    <w:rsid w:val="04B14E4D"/>
    <w:rsid w:val="055F1D7E"/>
    <w:rsid w:val="0EA27973"/>
    <w:rsid w:val="19E21DE2"/>
    <w:rsid w:val="1E2157E7"/>
    <w:rsid w:val="22CE6007"/>
    <w:rsid w:val="2B2F172C"/>
    <w:rsid w:val="2B8A0008"/>
    <w:rsid w:val="2CC51297"/>
    <w:rsid w:val="33EF4793"/>
    <w:rsid w:val="3530614E"/>
    <w:rsid w:val="48503B91"/>
    <w:rsid w:val="56BB4C5D"/>
    <w:rsid w:val="56C945D1"/>
    <w:rsid w:val="59785FA8"/>
    <w:rsid w:val="624278C9"/>
    <w:rsid w:val="63013977"/>
    <w:rsid w:val="63252CFE"/>
    <w:rsid w:val="64FB197B"/>
    <w:rsid w:val="66755EC9"/>
    <w:rsid w:val="6A6D3630"/>
    <w:rsid w:val="6B2B34FB"/>
    <w:rsid w:val="6E54771E"/>
    <w:rsid w:val="6F2B1F24"/>
    <w:rsid w:val="6F2E2B0D"/>
    <w:rsid w:val="77B9236A"/>
    <w:rsid w:val="799472C5"/>
    <w:rsid w:val="7CEE0102"/>
    <w:rsid w:val="7D4F0CA8"/>
    <w:rsid w:val="7E56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spacing w:line="240" w:lineRule="auto"/>
      <w:ind w:firstLine="420" w:firstLineChars="0"/>
      <w:jc w:val="left"/>
    </w:pPr>
    <w:rPr>
      <w:rFonts w:ascii="宋体" w:hAnsi="Times New Roman"/>
      <w:kern w:val="0"/>
      <w:sz w:val="24"/>
      <w:szCs w:val="20"/>
    </w:rPr>
  </w:style>
  <w:style w:type="paragraph" w:styleId="3">
    <w:name w:val="Plain Text"/>
    <w:basedOn w:val="1"/>
    <w:link w:val="22"/>
    <w:qFormat/>
    <w:uiPriority w:val="0"/>
    <w:pPr>
      <w:spacing w:line="240" w:lineRule="auto"/>
      <w:ind w:firstLine="0" w:firstLineChars="0"/>
    </w:pPr>
    <w:rPr>
      <w:rFonts w:ascii="宋体" w:hAnsi="Courier New"/>
      <w:szCs w:val="20"/>
    </w:r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pPr>
      <w:spacing w:line="240" w:lineRule="auto"/>
    </w:pPr>
    <w:rPr>
      <w:sz w:val="18"/>
      <w:szCs w:val="18"/>
    </w:rPr>
  </w:style>
  <w:style w:type="paragraph" w:styleId="6">
    <w:name w:val="footer"/>
    <w:basedOn w:val="1"/>
    <w:link w:val="15"/>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Title"/>
    <w:basedOn w:val="1"/>
    <w:link w:val="25"/>
    <w:qFormat/>
    <w:uiPriority w:val="0"/>
    <w:pPr>
      <w:widowControl/>
      <w:spacing w:line="240" w:lineRule="auto"/>
      <w:ind w:firstLine="0" w:firstLineChars="0"/>
      <w:jc w:val="center"/>
    </w:pPr>
    <w:rPr>
      <w:rFonts w:ascii="Tahoma" w:hAnsi="Tahoma"/>
      <w:b/>
      <w:kern w:val="0"/>
      <w:sz w:val="24"/>
      <w:szCs w:val="20"/>
    </w:rPr>
  </w:style>
  <w:style w:type="table" w:styleId="10">
    <w:name w:val="Table Grid"/>
    <w:basedOn w:val="9"/>
    <w:qFormat/>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页眉 Char"/>
    <w:basedOn w:val="11"/>
    <w:link w:val="7"/>
    <w:semiHidden/>
    <w:qFormat/>
    <w:uiPriority w:val="99"/>
    <w:rPr>
      <w:rFonts w:ascii="Calibri" w:hAnsi="Calibri" w:eastAsia="宋体"/>
      <w:sz w:val="18"/>
      <w:szCs w:val="18"/>
    </w:rPr>
  </w:style>
  <w:style w:type="character" w:customStyle="1" w:styleId="15">
    <w:name w:val="页脚 Char"/>
    <w:basedOn w:val="11"/>
    <w:link w:val="6"/>
    <w:qFormat/>
    <w:uiPriority w:val="99"/>
    <w:rPr>
      <w:rFonts w:ascii="Calibri" w:hAnsi="Calibri" w:eastAsia="宋体"/>
      <w:sz w:val="18"/>
      <w:szCs w:val="18"/>
    </w:rPr>
  </w:style>
  <w:style w:type="paragraph" w:styleId="16">
    <w:name w:val="List Paragraph"/>
    <w:basedOn w:val="1"/>
    <w:qFormat/>
    <w:uiPriority w:val="34"/>
    <w:pPr>
      <w:ind w:firstLine="420"/>
    </w:pPr>
  </w:style>
  <w:style w:type="character" w:customStyle="1" w:styleId="17">
    <w:name w:val="日期 Char"/>
    <w:basedOn w:val="11"/>
    <w:link w:val="4"/>
    <w:semiHidden/>
    <w:qFormat/>
    <w:uiPriority w:val="99"/>
    <w:rPr>
      <w:rFonts w:ascii="Calibri" w:hAnsi="Calibri" w:eastAsia="宋体"/>
      <w:sz w:val="21"/>
      <w:szCs w:val="22"/>
    </w:rPr>
  </w:style>
  <w:style w:type="character" w:customStyle="1" w:styleId="18">
    <w:name w:val="批注框文本 Char"/>
    <w:basedOn w:val="11"/>
    <w:link w:val="5"/>
    <w:semiHidden/>
    <w:qFormat/>
    <w:uiPriority w:val="99"/>
    <w:rPr>
      <w:rFonts w:ascii="Calibri" w:hAnsi="Calibri" w:eastAsia="宋体"/>
      <w:sz w:val="18"/>
      <w:szCs w:val="18"/>
    </w:rPr>
  </w:style>
  <w:style w:type="character" w:customStyle="1" w:styleId="19">
    <w:name w:val="font21"/>
    <w:qFormat/>
    <w:uiPriority w:val="0"/>
    <w:rPr>
      <w:rFonts w:ascii="Arial" w:hAnsi="Arial" w:eastAsia="宋体" w:cs="Times New Roman"/>
      <w:color w:val="000000"/>
      <w:sz w:val="22"/>
      <w:u w:val="none"/>
    </w:rPr>
  </w:style>
  <w:style w:type="character" w:customStyle="1" w:styleId="20">
    <w:name w:val="font11"/>
    <w:qFormat/>
    <w:uiPriority w:val="0"/>
    <w:rPr>
      <w:rFonts w:ascii="宋体" w:hAnsi="宋体" w:eastAsia="宋体" w:cs="Times New Roman"/>
      <w:color w:val="000000"/>
      <w:sz w:val="22"/>
      <w:u w:val="none"/>
    </w:rPr>
  </w:style>
  <w:style w:type="paragraph" w:customStyle="1" w:styleId="21">
    <w:name w:val="列出段落1"/>
    <w:basedOn w:val="1"/>
    <w:qFormat/>
    <w:uiPriority w:val="0"/>
    <w:pPr>
      <w:spacing w:line="240" w:lineRule="auto"/>
      <w:ind w:firstLine="420"/>
    </w:pPr>
  </w:style>
  <w:style w:type="character" w:customStyle="1" w:styleId="22">
    <w:name w:val="纯文本 Char"/>
    <w:basedOn w:val="11"/>
    <w:link w:val="3"/>
    <w:uiPriority w:val="0"/>
    <w:rPr>
      <w:rFonts w:ascii="宋体" w:hAnsi="Courier New" w:eastAsia="宋体" w:cs="Times New Roman"/>
      <w:kern w:val="2"/>
      <w:sz w:val="21"/>
    </w:rPr>
  </w:style>
  <w:style w:type="paragraph" w:customStyle="1" w:styleId="23">
    <w:name w:val="列出段落2"/>
    <w:basedOn w:val="1"/>
    <w:qFormat/>
    <w:uiPriority w:val="34"/>
    <w:pPr>
      <w:spacing w:line="240" w:lineRule="auto"/>
      <w:ind w:firstLine="420"/>
    </w:pPr>
  </w:style>
  <w:style w:type="character" w:customStyle="1" w:styleId="24">
    <w:name w:val="apple-style-span"/>
    <w:basedOn w:val="11"/>
    <w:qFormat/>
    <w:uiPriority w:val="0"/>
  </w:style>
  <w:style w:type="character" w:customStyle="1" w:styleId="25">
    <w:name w:val="标题 Char"/>
    <w:basedOn w:val="11"/>
    <w:link w:val="8"/>
    <w:uiPriority w:val="0"/>
    <w:rPr>
      <w:rFonts w:ascii="Tahoma" w:hAnsi="Tahoma"/>
      <w:b/>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692B10-2DFA-4DEB-BB87-4C50D1932234}">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421</Words>
  <Characters>2405</Characters>
  <Lines>20</Lines>
  <Paragraphs>5</Paragraphs>
  <TotalTime>46</TotalTime>
  <ScaleCrop>false</ScaleCrop>
  <LinksUpToDate>false</LinksUpToDate>
  <CharactersWithSpaces>2821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2015-05-22T03:21:00Z</dcterms:created>
  <dc:creator>User</dc:creator>
  <cp:lastModifiedBy>向日葵上的年糕</cp:lastModifiedBy>
  <cp:lastPrinted>2021-01-19T08:50:00Z</cp:lastPrinted>
  <dcterms:modified xsi:type="dcterms:W3CDTF">2024-05-27T01:14:11Z</dcterms:modified>
  <cp:revision>374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