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病案统计科病案架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院内比选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病案统计科病案架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评标方法：最低价评标法）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多媒体教室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投标流程：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4031室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具体要求详见附件。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合同签订后15天内。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16250元，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附件：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病案统计科病案架采购项目预算明细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W w:w="10050" w:type="dxa"/>
        <w:tblInd w:w="-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016"/>
        <w:gridCol w:w="2800"/>
        <w:gridCol w:w="834"/>
        <w:gridCol w:w="833"/>
        <w:gridCol w:w="1067"/>
        <w:gridCol w:w="1166"/>
        <w:gridCol w:w="17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规格\尺寸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合计（元）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材料﹨工艺＼说明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病案架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高225㎝*宽100㎝*厚35㎝；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共7层（7格），每层高30㎝，脚高12㎝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650.00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16250.00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角铁架，喷涂银漆；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左右两侧及每层铺厚层板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16250.00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ind w:left="0" w:leftChars="0" w:firstLine="0" w:firstLineChars="0"/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01BD6"/>
    <w:rsid w:val="4720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2024-06-17T08:17:00Z</dcterms:created>
  <dc:creator>杨超</dc:creator>
  <cp:lastModifiedBy>杨超</cp:lastModifiedBy>
  <dcterms:modified xsi:type="dcterms:W3CDTF">2024-06-17T08:23:06Z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