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pPr>
        <w:spacing w:line="560" w:lineRule="exact"/>
        <w:ind w:firstLine="640"/>
        <w:jc w:val="left"/>
        <w:rPr>
          <w:rFonts w:hint="eastAsia"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pPr>
        <w:spacing w:line="590" w:lineRule="exact"/>
        <w:ind w:firstLine="640" w:firstLineChars="200"/>
        <w:jc w:val="both"/>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w:t>
      </w:r>
      <w:r>
        <w:rPr>
          <w:rFonts w:hint="eastAsia" w:ascii="仿宋_GB2312" w:hAnsi="仿宋_GB2312" w:eastAsia="仿宋_GB2312" w:cs="仿宋_GB2312"/>
          <w:b w:val="0"/>
          <w:bCs w:val="0"/>
          <w:sz w:val="32"/>
          <w:szCs w:val="32"/>
          <w:lang w:val="en-US" w:eastAsia="zh-CN"/>
        </w:rPr>
        <w:t>2025年</w:t>
      </w:r>
      <w:r>
        <w:rPr>
          <w:rFonts w:hint="eastAsia" w:ascii="仿宋_GB2312" w:hAnsi="方正小标宋简体" w:eastAsia="仿宋_GB2312" w:cs="方正小标宋简体"/>
          <w:color w:val="000000" w:themeColor="text1"/>
          <w:sz w:val="32"/>
          <w:szCs w:val="32"/>
          <w14:textFill>
            <w14:solidFill>
              <w14:schemeClr w14:val="tx1"/>
            </w14:solidFill>
          </w14:textFill>
        </w:rPr>
        <w:t>消毒供应室脉动真空灭菌器维保技术服务</w:t>
      </w:r>
    </w:p>
    <w:p>
      <w:pPr>
        <w:pStyle w:val="5"/>
        <w:spacing w:line="560" w:lineRule="exact"/>
        <w:ind w:right="0" w:rightChars="0" w:firstLine="640" w:firstLineChars="200"/>
        <w:rPr>
          <w:rFonts w:ascii="仿宋" w:hAnsi="仿宋" w:eastAsia="仿宋" w:cs="仿宋_GB2312"/>
          <w:b w:val="0"/>
          <w:bCs/>
          <w:sz w:val="32"/>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11000</w:t>
      </w:r>
      <w:r>
        <w:rPr>
          <w:rFonts w:ascii="仿宋_GB2312" w:hAnsi="仿宋_GB2312" w:eastAsia="仿宋_GB2312" w:cs="仿宋_GB2312"/>
          <w:b w:val="0"/>
          <w:bCs/>
          <w:sz w:val="32"/>
        </w:rPr>
        <w:t>元</w:t>
      </w:r>
    </w:p>
    <w:p>
      <w:pPr>
        <w:pStyle w:val="5"/>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r>
        <w:rPr>
          <w:rFonts w:hint="eastAsia" w:ascii="仿宋_GB2312" w:hAnsi="仿宋_GB2312" w:eastAsia="仿宋_GB2312" w:cs="仿宋_GB2312"/>
          <w:b w:val="0"/>
          <w:bCs/>
          <w:sz w:val="32"/>
          <w:lang w:eastAsia="zh-CN"/>
        </w:rPr>
        <w:t>，原件</w:t>
      </w:r>
      <w:r>
        <w:rPr>
          <w:rFonts w:hint="eastAsia" w:ascii="仿宋_GB2312" w:hAnsi="仿宋_GB2312" w:eastAsia="仿宋_GB2312" w:cs="仿宋_GB2312"/>
          <w:b w:val="0"/>
          <w:bCs/>
          <w:sz w:val="32"/>
          <w:lang w:val="en-US" w:eastAsia="zh-CN"/>
        </w:rPr>
        <w:t>1份。</w:t>
      </w:r>
    </w:p>
    <w:p>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2024年</w:t>
      </w:r>
      <w:r>
        <w:rPr>
          <w:rFonts w:hint="eastAsia" w:ascii="仿宋_GB2312" w:hAnsi="Times New Roman" w:eastAsia="仿宋_GB2312"/>
          <w:b w:val="0"/>
          <w:color w:val="000000" w:themeColor="text1"/>
          <w:sz w:val="32"/>
          <w:lang w:val="en-US" w:eastAsia="zh-CN"/>
          <w14:textFill>
            <w14:solidFill>
              <w14:schemeClr w14:val="tx1"/>
            </w14:solidFill>
          </w14:textFill>
        </w:rPr>
        <w:t>9</w:t>
      </w:r>
      <w:r>
        <w:rPr>
          <w:rFonts w:hint="eastAsia" w:ascii="仿宋_GB2312" w:hAnsi="Times New Roman" w:eastAsia="仿宋_GB2312"/>
          <w:b w:val="0"/>
          <w:color w:val="000000" w:themeColor="text1"/>
          <w:sz w:val="32"/>
          <w14:textFill>
            <w14:solidFill>
              <w14:schemeClr w14:val="tx1"/>
            </w14:solidFill>
          </w14:textFill>
        </w:rPr>
        <w:t>月</w:t>
      </w:r>
      <w:r>
        <w:rPr>
          <w:rFonts w:hint="eastAsia" w:ascii="仿宋_GB2312" w:hAnsi="Times New Roman" w:eastAsia="仿宋_GB2312"/>
          <w:b w:val="0"/>
          <w:color w:val="000000" w:themeColor="text1"/>
          <w:sz w:val="32"/>
          <w:lang w:val="en-US" w:eastAsia="zh-CN"/>
          <w14:textFill>
            <w14:solidFill>
              <w14:schemeClr w14:val="tx1"/>
            </w14:solidFill>
          </w14:textFill>
        </w:rPr>
        <w:t>12</w:t>
      </w:r>
      <w:r>
        <w:rPr>
          <w:rFonts w:hint="eastAsia" w:ascii="仿宋_GB2312" w:hAnsi="Times New Roman" w:eastAsia="仿宋_GB2312"/>
          <w:b w:val="0"/>
          <w:color w:val="000000" w:themeColor="text1"/>
          <w:sz w:val="32"/>
          <w14:textFill>
            <w14:solidFill>
              <w14:schemeClr w14:val="tx1"/>
            </w14:solidFill>
          </w14:textFill>
        </w:rPr>
        <w:t>日（</w:t>
      </w:r>
      <w:r>
        <w:rPr>
          <w:rFonts w:hint="eastAsia" w:ascii="仿宋_GB2312" w:hAnsi="仿宋_GB2312" w:eastAsia="仿宋_GB2312" w:cs="仿宋_GB2312"/>
          <w:b w:val="0"/>
          <w:bCs/>
          <w:color w:val="000000" w:themeColor="text1"/>
          <w:sz w:val="32"/>
          <w14:textFill>
            <w14:solidFill>
              <w14:schemeClr w14:val="tx1"/>
            </w14:solidFill>
          </w14:textFill>
        </w:rPr>
        <w:t>周四）上午8:30-10:00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2.投递地点：昆明市西山区人民医院5楼多媒体教室</w:t>
      </w:r>
    </w:p>
    <w:p>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pPr>
        <w:spacing w:line="560" w:lineRule="atLeas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2"/>
          <w:szCs w:val="32"/>
        </w:rPr>
        <w:t>具有合法有效的《营业执照》、《税务登记证》、《组织机构代码证》（或三证合一，带二维码）及</w:t>
      </w:r>
      <w:r>
        <w:rPr>
          <w:rFonts w:hint="eastAsia" w:ascii="仿宋" w:hAnsi="仿宋" w:eastAsia="仿宋"/>
          <w:sz w:val="32"/>
          <w:szCs w:val="32"/>
        </w:rPr>
        <w:t>《</w:t>
      </w:r>
      <w:r>
        <w:rPr>
          <w:rFonts w:hint="eastAsia" w:ascii="仿宋" w:hAnsi="仿宋" w:eastAsia="仿宋"/>
          <w:caps/>
          <w:sz w:val="32"/>
          <w:szCs w:val="32"/>
        </w:rPr>
        <w:t>医疗器械经营许可证</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shd w:val="clear" w:color="auto" w:fill="FFFFFF"/>
        </w:rPr>
        <w:t>等</w:t>
      </w:r>
      <w:r>
        <w:rPr>
          <w:rFonts w:hint="eastAsia" w:ascii="仿宋_GB2312" w:hAnsi="仿宋_GB2312" w:eastAsia="仿宋_GB2312" w:cs="仿宋_GB2312"/>
          <w:caps/>
          <w:sz w:val="32"/>
          <w:szCs w:val="32"/>
        </w:rPr>
        <w:t>复印件</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须加盖投标供应商公章，否则视为无效文件</w:t>
      </w:r>
      <w:r>
        <w:rPr>
          <w:rFonts w:hint="eastAsia" w:ascii="仿宋_GB2312" w:hAnsi="仿宋_GB2312" w:eastAsia="仿宋_GB2312" w:cs="仿宋_GB2312"/>
          <w:sz w:val="32"/>
          <w:szCs w:val="32"/>
          <w:lang w:eastAsia="zh-CN"/>
        </w:rPr>
        <w:t>。</w:t>
      </w:r>
    </w:p>
    <w:p>
      <w:pPr>
        <w:spacing w:line="560" w:lineRule="atLeas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）具有良好的商业信誉和健全的财务制度</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spacing w:line="560" w:lineRule="atLeas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）具有履行合同所必需的设备和专业技术能力</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left="0" w:leftChars="0" w:firstLine="0" w:firstLineChars="0"/>
        <w:jc w:val="both"/>
        <w:rPr>
          <w:rFonts w:hint="eastAsia" w:ascii="方正小标宋简体" w:hAnsi="方正小标宋简体" w:eastAsia="方正小标宋简体" w:cs="方正小标宋简体"/>
          <w:b/>
          <w:bCs/>
          <w:color w:val="000000"/>
          <w:sz w:val="44"/>
          <w:szCs w:val="44"/>
        </w:rPr>
      </w:pPr>
    </w:p>
    <w:p>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pPr>
        <w:pStyle w:val="5"/>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pPr>
        <w:spacing w:line="590" w:lineRule="exact"/>
        <w:ind w:firstLine="640" w:firstLineChars="200"/>
        <w:jc w:val="both"/>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采购项目：</w:t>
      </w:r>
      <w:r>
        <w:rPr>
          <w:rFonts w:hint="eastAsia" w:ascii="仿宋_GB2312" w:hAnsi="仿宋_GB2312" w:eastAsia="仿宋_GB2312" w:cs="仿宋_GB2312"/>
          <w:b w:val="0"/>
          <w:bCs/>
          <w:sz w:val="32"/>
          <w:szCs w:val="32"/>
          <w:lang w:val="en-US" w:eastAsia="zh-CN"/>
        </w:rPr>
        <w:t>2025年</w:t>
      </w:r>
      <w:r>
        <w:rPr>
          <w:rFonts w:hint="eastAsia" w:ascii="仿宋_GB2312" w:hAnsi="仿宋_GB2312" w:eastAsia="仿宋_GB2312" w:cs="仿宋_GB2312"/>
          <w:b w:val="0"/>
          <w:bCs/>
          <w:color w:val="000000" w:themeColor="text1"/>
          <w:sz w:val="32"/>
          <w:szCs w:val="32"/>
          <w14:textFill>
            <w14:solidFill>
              <w14:schemeClr w14:val="tx1"/>
            </w14:solidFill>
          </w14:textFill>
        </w:rPr>
        <w:t>消毒供应室脉动真空灭菌器维保技术服务</w:t>
      </w:r>
    </w:p>
    <w:p>
      <w:pPr>
        <w:pStyle w:val="5"/>
        <w:spacing w:line="560" w:lineRule="exact"/>
        <w:ind w:right="0" w:rightChars="0" w:firstLine="640" w:firstLineChars="200"/>
        <w:rPr>
          <w:rFonts w:hint="eastAsia" w:ascii="仿宋_GB2312" w:hAnsi="仿宋_GB2312" w:eastAsia="仿宋_GB2312" w:cs="仿宋_GB2312"/>
          <w:b w:val="0"/>
          <w:bCs/>
          <w:sz w:val="30"/>
          <w:szCs w:val="30"/>
          <w:lang w:eastAsia="zh-CN"/>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11000</w:t>
      </w:r>
      <w:r>
        <w:rPr>
          <w:rFonts w:hint="eastAsia" w:ascii="仿宋_GB2312" w:hAnsi="仿宋_GB2312" w:eastAsia="仿宋_GB2312" w:cs="仿宋_GB2312"/>
          <w:b w:val="0"/>
          <w:bCs/>
          <w:sz w:val="32"/>
        </w:rPr>
        <w:t>元</w:t>
      </w:r>
      <w:r>
        <w:rPr>
          <w:rFonts w:hint="eastAsia" w:ascii="仿宋_GB2312" w:hAnsi="仿宋_GB2312" w:eastAsia="仿宋_GB2312" w:cs="仿宋_GB2312"/>
          <w:b w:val="0"/>
          <w:bCs/>
          <w:sz w:val="32"/>
          <w:lang w:eastAsia="zh-CN"/>
        </w:rPr>
        <w:t>，报价不得超过预算。</w:t>
      </w:r>
    </w:p>
    <w:p>
      <w:pPr>
        <w:pStyle w:val="5"/>
        <w:spacing w:line="560" w:lineRule="exact"/>
        <w:ind w:right="0" w:rightChars="0" w:firstLine="640" w:firstLineChars="200"/>
        <w:rPr>
          <w:rFonts w:hint="eastAsia"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lang w:eastAsia="zh-CN"/>
        </w:rPr>
        <w:t>服务期限：</w:t>
      </w:r>
      <w:r>
        <w:rPr>
          <w:rFonts w:hint="eastAsia" w:ascii="仿宋_GB2312" w:hAnsi="仿宋_GB2312" w:eastAsia="仿宋_GB2312" w:cs="仿宋_GB2312"/>
          <w:b w:val="0"/>
          <w:bCs/>
          <w:sz w:val="32"/>
          <w:lang w:val="en-US" w:eastAsia="zh-CN"/>
        </w:rPr>
        <w:t>1年</w:t>
      </w:r>
    </w:p>
    <w:p>
      <w:pPr>
        <w:spacing w:line="560" w:lineRule="exact"/>
        <w:ind w:firstLine="640"/>
        <w:jc w:val="left"/>
        <w:rPr>
          <w:rFonts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、投递标书和开标要求</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w:t>
      </w:r>
      <w:r>
        <w:rPr>
          <w:rFonts w:hint="eastAsia" w:ascii="仿宋_GB2312" w:hAnsi="Times New Roman" w:eastAsia="仿宋_GB2312"/>
          <w:color w:val="000000"/>
          <w:sz w:val="32"/>
          <w:szCs w:val="32"/>
          <w:lang w:val="en-US" w:eastAsia="zh-CN"/>
        </w:rPr>
        <w:t>1</w:t>
      </w:r>
      <w:r>
        <w:rPr>
          <w:rFonts w:hint="eastAsia" w:ascii="仿宋_GB2312" w:hAnsi="Times New Roman" w:eastAsia="仿宋_GB2312"/>
          <w:color w:val="000000"/>
          <w:sz w:val="32"/>
          <w:szCs w:val="32"/>
        </w:rPr>
        <w:t>）投递标书</w:t>
      </w:r>
    </w:p>
    <w:p>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ascii="仿宋_GB2312" w:hAnsi="Times New Roman" w:eastAsia="仿宋_GB2312"/>
          <w:sz w:val="32"/>
          <w:szCs w:val="32"/>
        </w:rPr>
        <w:t>4</w:t>
      </w:r>
      <w:r>
        <w:rPr>
          <w:rFonts w:hint="eastAsia" w:ascii="仿宋_GB2312" w:hAnsi="Times New Roman" w:eastAsia="仿宋_GB2312"/>
          <w:sz w:val="32"/>
          <w:szCs w:val="32"/>
        </w:rPr>
        <w:t>年</w:t>
      </w:r>
      <w:r>
        <w:rPr>
          <w:rFonts w:hint="eastAsia" w:ascii="仿宋_GB2312" w:hAnsi="Times New Roman" w:eastAsia="仿宋_GB2312"/>
          <w:sz w:val="32"/>
          <w:szCs w:val="32"/>
          <w:lang w:val="en-US" w:eastAsia="zh-CN"/>
        </w:rPr>
        <w:t>9</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13</w:t>
      </w:r>
      <w:r>
        <w:rPr>
          <w:rFonts w:hint="eastAsia" w:ascii="仿宋_GB2312" w:hAnsi="Times New Roman" w:eastAsia="仿宋_GB2312"/>
          <w:sz w:val="32"/>
          <w:szCs w:val="32"/>
        </w:rPr>
        <w:t>日（</w:t>
      </w:r>
      <w:r>
        <w:rPr>
          <w:rFonts w:hint="eastAsia" w:ascii="仿宋_GB2312" w:hAnsi="Times New Roman" w:eastAsia="仿宋_GB2312"/>
          <w:color w:val="000000" w:themeColor="text1"/>
          <w:sz w:val="32"/>
          <w:szCs w:val="32"/>
          <w14:textFill>
            <w14:solidFill>
              <w14:schemeClr w14:val="tx1"/>
            </w14:solidFill>
          </w14:textFill>
        </w:rPr>
        <w:t>周五）上午8:30-9:50</w:t>
      </w:r>
    </w:p>
    <w:p>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eastAsia="仿宋_GB2312"/>
          <w:color w:val="000000" w:themeColor="text1"/>
          <w:sz w:val="32"/>
          <w:szCs w:val="32"/>
          <w:lang w:val="en-US" w:eastAsia="zh-CN"/>
          <w14:textFill>
            <w14:solidFill>
              <w14:schemeClr w14:val="tx1"/>
            </w14:solidFill>
          </w14:textFill>
        </w:rPr>
        <w:t>2套</w:t>
      </w:r>
      <w:r>
        <w:rPr>
          <w:rFonts w:hint="eastAsia" w:ascii="仿宋_GB2312" w:hAnsi="Times New Roman" w:eastAsia="仿宋_GB2312"/>
          <w:color w:val="000000" w:themeColor="text1"/>
          <w:sz w:val="32"/>
          <w:szCs w:val="32"/>
          <w:lang w:eastAsia="zh-CN"/>
          <w14:textFill>
            <w14:solidFill>
              <w14:schemeClr w14:val="tx1"/>
            </w14:solidFill>
          </w14:textFill>
        </w:rPr>
        <w:t>（正、副本）</w:t>
      </w:r>
      <w:r>
        <w:rPr>
          <w:rFonts w:hint="eastAsia" w:ascii="仿宋_GB2312" w:hAnsi="Times New Roman" w:eastAsia="仿宋_GB2312"/>
          <w:color w:val="000000" w:themeColor="text1"/>
          <w:sz w:val="32"/>
          <w:szCs w:val="32"/>
          <w14:textFill>
            <w14:solidFill>
              <w14:schemeClr w14:val="tx1"/>
            </w14:solidFill>
          </w14:textFill>
        </w:rPr>
        <w:t>。</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w:t>
      </w:r>
      <w:r>
        <w:rPr>
          <w:rFonts w:hint="eastAsia" w:ascii="仿宋_GB2312" w:hAnsi="Times New Roman" w:eastAsia="仿宋_GB2312"/>
          <w:color w:val="000000"/>
          <w:sz w:val="32"/>
          <w:szCs w:val="32"/>
          <w:lang w:val="en-US" w:eastAsia="zh-CN"/>
        </w:rPr>
        <w:t>2</w:t>
      </w:r>
      <w:r>
        <w:rPr>
          <w:rFonts w:hint="eastAsia" w:ascii="仿宋_GB2312" w:hAnsi="Times New Roman" w:eastAsia="仿宋_GB2312"/>
          <w:color w:val="000000"/>
          <w:sz w:val="32"/>
          <w:szCs w:val="32"/>
        </w:rPr>
        <w:t>）开标评标</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ascii="仿宋_GB2312" w:hAnsi="Times New Roman" w:eastAsia="仿宋_GB2312"/>
          <w:sz w:val="32"/>
          <w:szCs w:val="32"/>
        </w:rPr>
        <w:t>4</w:t>
      </w:r>
      <w:r>
        <w:rPr>
          <w:rFonts w:hint="eastAsia" w:ascii="仿宋_GB2312" w:hAnsi="Times New Roman" w:eastAsia="仿宋_GB2312"/>
          <w:sz w:val="32"/>
          <w:szCs w:val="32"/>
        </w:rPr>
        <w:t>年</w:t>
      </w:r>
      <w:r>
        <w:rPr>
          <w:rFonts w:hint="eastAsia" w:ascii="仿宋_GB2312" w:hAnsi="Times New Roman" w:eastAsia="仿宋_GB2312"/>
          <w:sz w:val="32"/>
          <w:szCs w:val="32"/>
          <w:lang w:val="en-US" w:eastAsia="zh-CN"/>
        </w:rPr>
        <w:t>9</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13</w:t>
      </w:r>
      <w:r>
        <w:rPr>
          <w:rFonts w:hint="eastAsia" w:ascii="仿宋_GB2312" w:hAnsi="Times New Roman" w:eastAsia="仿宋_GB2312"/>
          <w:sz w:val="32"/>
          <w:szCs w:val="32"/>
        </w:rPr>
        <w:t>日（</w:t>
      </w:r>
      <w:r>
        <w:rPr>
          <w:rFonts w:hint="eastAsia" w:ascii="仿宋_GB2312" w:hAnsi="Times New Roman" w:eastAsia="仿宋_GB2312"/>
          <w:color w:val="000000" w:themeColor="text1"/>
          <w:sz w:val="32"/>
          <w:szCs w:val="32"/>
          <w14:textFill>
            <w14:solidFill>
              <w14:schemeClr w14:val="tx1"/>
            </w14:solidFill>
          </w14:textFill>
        </w:rPr>
        <w:t>周五）上午10:00</w:t>
      </w:r>
    </w:p>
    <w:p>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pPr>
        <w:spacing w:line="560" w:lineRule="exact"/>
        <w:ind w:firstLine="640"/>
        <w:rPr>
          <w:rFonts w:ascii="黑体" w:hAnsi="黑体" w:eastAsia="黑体" w:cs="黑体"/>
          <w:bCs/>
          <w:sz w:val="32"/>
          <w:szCs w:val="32"/>
        </w:rPr>
      </w:pPr>
      <w:r>
        <w:rPr>
          <w:rFonts w:hint="eastAsia" w:ascii="黑体" w:hAnsi="黑体" w:eastAsia="黑体"/>
          <w:sz w:val="32"/>
          <w:szCs w:val="32"/>
          <w:lang w:eastAsia="zh-CN"/>
        </w:rPr>
        <w:t>三</w:t>
      </w:r>
      <w:r>
        <w:rPr>
          <w:rFonts w:hint="eastAsia" w:ascii="黑体" w:hAnsi="黑体" w:eastAsia="黑体"/>
          <w:sz w:val="32"/>
          <w:szCs w:val="32"/>
        </w:rPr>
        <w:t>、</w:t>
      </w:r>
      <w:r>
        <w:rPr>
          <w:rFonts w:hint="eastAsia" w:ascii="黑体" w:hAnsi="黑体" w:eastAsia="黑体" w:cs="黑体"/>
          <w:bCs/>
          <w:sz w:val="32"/>
          <w:szCs w:val="32"/>
        </w:rPr>
        <w:t>投标人资格要求</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（2）具有良好的商业信誉和健全的财务制度(包括资产负债表、利润表、现金流量表)。</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pPr>
        <w:spacing w:line="560" w:lineRule="exact"/>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pPr>
        <w:spacing w:line="560" w:lineRule="exact"/>
        <w:ind w:firstLine="640"/>
        <w:rPr>
          <w:rFonts w:hint="eastAsia" w:ascii="黑体" w:hAnsi="黑体" w:eastAsia="仿宋_GB2312"/>
          <w:sz w:val="32"/>
          <w:szCs w:val="32"/>
          <w:lang w:eastAsia="zh-CN"/>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_GB2312" w:eastAsia="仿宋_GB2312" w:cs="仿宋_GB2312"/>
          <w:caps/>
          <w:sz w:val="32"/>
          <w:szCs w:val="32"/>
        </w:rPr>
        <w:t>医疗器械经营许可证》</w:t>
      </w:r>
      <w:r>
        <w:rPr>
          <w:rFonts w:hint="eastAsia" w:ascii="仿宋_GB2312" w:hAnsi="仿宋_GB2312" w:eastAsia="仿宋_GB2312" w:cs="仿宋_GB2312"/>
          <w:sz w:val="32"/>
          <w:szCs w:val="32"/>
          <w:shd w:val="clear" w:color="auto" w:fill="FFFFFF"/>
        </w:rPr>
        <w:t>等</w:t>
      </w:r>
      <w:r>
        <w:rPr>
          <w:rFonts w:hint="eastAsia" w:ascii="仿宋_GB2312" w:hAnsi="仿宋_GB2312" w:eastAsia="仿宋_GB2312" w:cs="仿宋_GB2312"/>
          <w:caps/>
          <w:sz w:val="32"/>
          <w:szCs w:val="32"/>
        </w:rPr>
        <w:t>复印件，且在有效期内</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须加盖投标供应商公章，否则视为无效文件</w:t>
      </w:r>
      <w:r>
        <w:rPr>
          <w:rFonts w:hint="eastAsia" w:ascii="仿宋_GB2312" w:hAnsi="仿宋_GB2312" w:eastAsia="仿宋_GB2312" w:cs="仿宋_GB2312"/>
          <w:sz w:val="32"/>
          <w:szCs w:val="32"/>
          <w:lang w:eastAsia="zh-CN"/>
        </w:rPr>
        <w:t>。</w:t>
      </w:r>
    </w:p>
    <w:p>
      <w:pPr>
        <w:spacing w:line="560" w:lineRule="atLeast"/>
        <w:ind w:firstLine="640"/>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法人代表授权给经办人授权委托书、法人身份证复印件、经办人身份证复印件，加盖公章</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w:t>
      </w:r>
    </w:p>
    <w:p>
      <w:pPr>
        <w:spacing w:line="560" w:lineRule="atLeas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）具有履行合同所必需的设备和专业技术能力（提供书面声明原件或相关资质证明）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pPr>
        <w:tabs>
          <w:tab w:val="center" w:pos="4476"/>
        </w:tabs>
        <w:spacing w:line="560" w:lineRule="atLeast"/>
        <w:ind w:firstLine="640"/>
        <w:rPr>
          <w:rFonts w:hint="eastAsia" w:ascii="黑体" w:hAnsi="黑体" w:eastAsia="黑体"/>
          <w:sz w:val="32"/>
          <w:szCs w:val="32"/>
          <w:lang w:eastAsia="zh-CN"/>
        </w:rPr>
      </w:pPr>
      <w:r>
        <w:rPr>
          <w:rFonts w:hint="eastAsia" w:ascii="黑体" w:hAnsi="黑体" w:eastAsia="黑体"/>
          <w:sz w:val="32"/>
          <w:szCs w:val="32"/>
          <w:lang w:eastAsia="zh-CN"/>
        </w:rPr>
        <w:t>四</w:t>
      </w:r>
      <w:r>
        <w:rPr>
          <w:rFonts w:hint="eastAsia" w:ascii="黑体" w:hAnsi="黑体" w:eastAsia="黑体"/>
          <w:sz w:val="32"/>
          <w:szCs w:val="32"/>
        </w:rPr>
        <w:t>、服务</w:t>
      </w:r>
      <w:r>
        <w:rPr>
          <w:rFonts w:hint="eastAsia" w:ascii="黑体" w:hAnsi="黑体" w:eastAsia="黑体"/>
          <w:sz w:val="32"/>
          <w:szCs w:val="32"/>
          <w:lang w:eastAsia="zh-CN"/>
        </w:rPr>
        <w:t>要求</w:t>
      </w:r>
    </w:p>
    <w:p>
      <w:pPr>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提供维保服务项目必须符合国家标准、行业相关标准。</w:t>
      </w:r>
    </w:p>
    <w:p>
      <w:pPr>
        <w:spacing w:line="560" w:lineRule="atLeast"/>
        <w:ind w:firstLine="640"/>
        <w:rPr>
          <w:rFonts w:ascii="仿宋_GB2312" w:hAnsi="仿宋" w:eastAsia="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维保服务必须满足昆明市西山区人民医院招标文件中服务及质量要求。</w:t>
      </w:r>
    </w:p>
    <w:p>
      <w:pPr>
        <w:spacing w:line="560" w:lineRule="exact"/>
        <w:ind w:firstLine="640"/>
        <w:rPr>
          <w:rFonts w:ascii="黑体" w:hAnsi="黑体" w:eastAsia="黑体" w:cs="黑体"/>
          <w:color w:val="FF0000"/>
          <w:sz w:val="32"/>
          <w:szCs w:val="32"/>
        </w:rPr>
      </w:pPr>
      <w:r>
        <w:rPr>
          <w:rFonts w:hint="eastAsia" w:ascii="黑体" w:hAnsi="黑体" w:eastAsia="黑体"/>
          <w:sz w:val="32"/>
          <w:szCs w:val="32"/>
          <w:lang w:eastAsia="zh-CN"/>
        </w:rPr>
        <w:t>五</w:t>
      </w:r>
      <w:r>
        <w:rPr>
          <w:rFonts w:hint="eastAsia" w:ascii="黑体" w:hAnsi="黑体" w:eastAsia="黑体"/>
          <w:sz w:val="32"/>
          <w:szCs w:val="32"/>
        </w:rPr>
        <w:t>、</w:t>
      </w:r>
      <w:r>
        <w:rPr>
          <w:rFonts w:hint="eastAsia" w:ascii="黑体" w:hAnsi="黑体" w:eastAsia="黑体" w:cs="黑体"/>
          <w:color w:val="000000" w:themeColor="text1"/>
          <w:sz w:val="32"/>
          <w:szCs w:val="32"/>
          <w14:textFill>
            <w14:solidFill>
              <w14:schemeClr w14:val="tx1"/>
            </w14:solidFill>
          </w14:textFill>
        </w:rPr>
        <w:t>采购方式</w:t>
      </w:r>
    </w:p>
    <w:p>
      <w:pPr>
        <w:spacing w:line="560" w:lineRule="exact"/>
        <w:ind w:firstLine="64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院内比选，评标方法：最低价中标法。</w:t>
      </w:r>
    </w:p>
    <w:p>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28359085"/>
      <w:bookmarkStart w:id="1" w:name="_Toc28359008"/>
      <w:bookmarkStart w:id="2" w:name="_Toc35393627"/>
      <w:bookmarkStart w:id="3" w:name="_Toc35393796"/>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pPr>
        <w:spacing w:line="560" w:lineRule="exact"/>
        <w:ind w:firstLine="420"/>
        <w:rPr>
          <w:rStyle w:val="13"/>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10"/>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10"/>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pPr>
        <w:pStyle w:val="5"/>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七、联系方式</w:t>
      </w:r>
    </w:p>
    <w:p>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联系人：医学装备部/韩永贤。</w:t>
      </w:r>
    </w:p>
    <w:p>
      <w:pPr>
        <w:pStyle w:val="5"/>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pPr>
        <w:spacing w:line="560" w:lineRule="exact"/>
        <w:ind w:firstLine="640"/>
        <w:rPr>
          <w:rFonts w:ascii="仿宋_GB2312" w:hAnsi="仿宋" w:eastAsia="仿宋_GB2312" w:cs="Calibri"/>
          <w:sz w:val="32"/>
          <w:szCs w:val="32"/>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ascii="仿宋_GB2312" w:hAnsi="仿宋" w:eastAsia="仿宋_GB2312" w:cs="Calibri"/>
          <w:sz w:val="32"/>
          <w:szCs w:val="32"/>
        </w:rPr>
        <w:t>4</w:t>
      </w:r>
      <w:r>
        <w:rPr>
          <w:rFonts w:hint="eastAsia" w:ascii="仿宋_GB2312" w:hAnsi="仿宋" w:eastAsia="仿宋_GB2312" w:cs="Calibri"/>
          <w:sz w:val="32"/>
          <w:szCs w:val="32"/>
        </w:rPr>
        <w:t>年</w:t>
      </w:r>
      <w:r>
        <w:rPr>
          <w:rFonts w:hint="eastAsia" w:ascii="仿宋_GB2312" w:hAnsi="仿宋" w:eastAsia="仿宋_GB2312" w:cs="Calibri"/>
          <w:sz w:val="32"/>
          <w:szCs w:val="32"/>
          <w:lang w:val="en-US" w:eastAsia="zh-CN"/>
        </w:rPr>
        <w:t>9</w:t>
      </w:r>
      <w:r>
        <w:rPr>
          <w:rFonts w:hint="eastAsia" w:ascii="仿宋_GB2312" w:hAnsi="仿宋" w:eastAsia="仿宋_GB2312" w:cs="Calibri"/>
          <w:sz w:val="32"/>
          <w:szCs w:val="32"/>
        </w:rPr>
        <w:t>月</w:t>
      </w:r>
      <w:r>
        <w:rPr>
          <w:rFonts w:hint="eastAsia" w:ascii="仿宋_GB2312" w:hAnsi="仿宋" w:eastAsia="仿宋_GB2312" w:cs="Calibri"/>
          <w:sz w:val="32"/>
          <w:szCs w:val="32"/>
          <w:lang w:val="en-US" w:eastAsia="zh-CN"/>
        </w:rPr>
        <w:t>9</w:t>
      </w:r>
      <w:bookmarkStart w:id="4" w:name="_GoBack"/>
      <w:bookmarkEnd w:id="4"/>
      <w:r>
        <w:rPr>
          <w:rFonts w:hint="eastAsia" w:ascii="仿宋_GB2312" w:hAnsi="仿宋" w:eastAsia="仿宋_GB2312" w:cs="Calibri"/>
          <w:sz w:val="32"/>
          <w:szCs w:val="32"/>
        </w:rPr>
        <w:t>日</w:t>
      </w:r>
    </w:p>
    <w:p>
      <w:pPr>
        <w:spacing w:line="560" w:lineRule="atLeast"/>
        <w:ind w:firstLine="640"/>
        <w:rPr>
          <w:rFonts w:hint="eastAsia" w:ascii="仿宋_GB2312" w:hAnsi="仿宋_GB2312" w:eastAsia="仿宋_GB2312" w:cs="仿宋_GB2312"/>
          <w:color w:val="FF0000"/>
          <w:sz w:val="32"/>
          <w:szCs w:val="32"/>
        </w:rPr>
      </w:pPr>
    </w:p>
    <w:p>
      <w:pPr>
        <w:spacing w:line="560" w:lineRule="atLeast"/>
        <w:ind w:firstLine="640"/>
        <w:rPr>
          <w:rFonts w:hint="eastAsia" w:ascii="仿宋_GB2312" w:hAnsi="仿宋_GB2312" w:eastAsia="仿宋_GB2312" w:cs="仿宋_GB2312"/>
          <w:color w:val="FF0000"/>
          <w:sz w:val="32"/>
          <w:szCs w:val="32"/>
        </w:rPr>
      </w:pPr>
    </w:p>
    <w:p>
      <w:pPr>
        <w:spacing w:line="560" w:lineRule="atLeast"/>
        <w:ind w:firstLine="640"/>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rPr>
        <w:t>重要提示：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pPr>
        <w:ind w:firstLine="420"/>
      </w:pPr>
    </w:p>
    <w:p>
      <w:pPr>
        <w:ind w:firstLine="420"/>
        <w:rPr>
          <w:rFonts w:hint="eastAsia" w:ascii="仿宋_GB2312" w:hAnsi="仿宋_GB2312" w:eastAsia="仿宋_GB2312" w:cs="仿宋_GB2312"/>
          <w:b w:val="0"/>
          <w:bCs w:val="0"/>
          <w:sz w:val="32"/>
          <w:szCs w:val="32"/>
          <w:lang w:val="en-US" w:eastAsia="zh-CN"/>
        </w:rPr>
      </w:pPr>
    </w:p>
    <w:p>
      <w:pPr>
        <w:ind w:firstLine="42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附件1</w:t>
      </w:r>
    </w:p>
    <w:p>
      <w:pPr>
        <w:pStyle w:val="2"/>
        <w:rPr>
          <w:rFonts w:hint="eastAsia"/>
          <w:lang w:val="en-US" w:eastAsia="zh-CN"/>
        </w:rPr>
      </w:pPr>
    </w:p>
    <w:tbl>
      <w:tblPr>
        <w:tblStyle w:val="8"/>
        <w:tblW w:w="9036" w:type="dxa"/>
        <w:jc w:val="center"/>
        <w:tblInd w:w="7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8"/>
        <w:gridCol w:w="2160"/>
        <w:gridCol w:w="1320"/>
        <w:gridCol w:w="1395"/>
        <w:gridCol w:w="1441"/>
        <w:gridCol w:w="1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38" w:type="dxa"/>
            <w:vAlign w:val="center"/>
          </w:tcPr>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hAnsi="黑体" w:eastAsia="仿宋_GB2312"/>
                <w:b/>
                <w:bCs/>
                <w:sz w:val="24"/>
                <w:szCs w:val="24"/>
              </w:rPr>
            </w:pPr>
            <w:r>
              <w:rPr>
                <w:rFonts w:hint="eastAsia" w:ascii="仿宋_GB2312" w:hAnsi="黑体" w:eastAsia="仿宋_GB2312"/>
                <w:b/>
                <w:bCs/>
                <w:sz w:val="24"/>
                <w:szCs w:val="24"/>
              </w:rPr>
              <w:t>设备名称</w:t>
            </w:r>
          </w:p>
        </w:tc>
        <w:tc>
          <w:tcPr>
            <w:tcW w:w="2160" w:type="dxa"/>
            <w:vAlign w:val="center"/>
          </w:tcPr>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hAnsi="黑体" w:eastAsia="仿宋_GB2312"/>
                <w:b/>
                <w:bCs/>
                <w:sz w:val="24"/>
                <w:szCs w:val="24"/>
              </w:rPr>
            </w:pPr>
            <w:r>
              <w:rPr>
                <w:rFonts w:hint="eastAsia" w:ascii="仿宋_GB2312" w:hAnsi="黑体" w:eastAsia="仿宋_GB2312"/>
                <w:b/>
                <w:bCs/>
                <w:sz w:val="24"/>
                <w:szCs w:val="24"/>
              </w:rPr>
              <w:t>品牌型号</w:t>
            </w:r>
          </w:p>
        </w:tc>
        <w:tc>
          <w:tcPr>
            <w:tcW w:w="1320" w:type="dxa"/>
            <w:vAlign w:val="center"/>
          </w:tcPr>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hAnsi="黑体" w:eastAsia="仿宋_GB2312"/>
                <w:b/>
                <w:bCs/>
                <w:sz w:val="24"/>
                <w:szCs w:val="24"/>
              </w:rPr>
            </w:pPr>
            <w:r>
              <w:rPr>
                <w:rFonts w:hint="eastAsia" w:ascii="仿宋_GB2312" w:hAnsi="黑体" w:eastAsia="仿宋_GB2312"/>
                <w:b/>
                <w:bCs/>
                <w:sz w:val="24"/>
                <w:szCs w:val="24"/>
              </w:rPr>
              <w:t>数量</w:t>
            </w:r>
          </w:p>
        </w:tc>
        <w:tc>
          <w:tcPr>
            <w:tcW w:w="1395" w:type="dxa"/>
            <w:vAlign w:val="center"/>
          </w:tcPr>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hAnsi="黑体" w:eastAsia="仿宋_GB2312"/>
                <w:b/>
                <w:bCs/>
                <w:sz w:val="24"/>
                <w:szCs w:val="24"/>
              </w:rPr>
            </w:pPr>
            <w:r>
              <w:rPr>
                <w:rFonts w:hint="eastAsia" w:ascii="仿宋_GB2312" w:hAnsi="黑体" w:eastAsia="仿宋_GB2312"/>
                <w:b/>
                <w:bCs/>
                <w:sz w:val="24"/>
                <w:szCs w:val="24"/>
                <w:lang w:eastAsia="zh-CN"/>
              </w:rPr>
              <w:t>院内</w:t>
            </w:r>
            <w:r>
              <w:rPr>
                <w:rFonts w:hint="eastAsia" w:ascii="仿宋_GB2312" w:hAnsi="黑体" w:eastAsia="仿宋_GB2312"/>
                <w:b/>
                <w:bCs/>
                <w:sz w:val="24"/>
                <w:szCs w:val="24"/>
              </w:rPr>
              <w:t>设备编号</w:t>
            </w:r>
          </w:p>
        </w:tc>
        <w:tc>
          <w:tcPr>
            <w:tcW w:w="1441" w:type="dxa"/>
            <w:vAlign w:val="center"/>
          </w:tcPr>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hAnsi="黑体" w:eastAsia="仿宋_GB2312"/>
                <w:b/>
                <w:bCs/>
                <w:sz w:val="24"/>
                <w:szCs w:val="24"/>
              </w:rPr>
            </w:pPr>
            <w:r>
              <w:rPr>
                <w:rFonts w:hint="eastAsia" w:ascii="仿宋_GB2312" w:hAnsi="黑体" w:eastAsia="仿宋_GB2312"/>
                <w:b/>
                <w:bCs/>
                <w:sz w:val="24"/>
                <w:szCs w:val="24"/>
              </w:rPr>
              <w:t>维保方式</w:t>
            </w:r>
          </w:p>
        </w:tc>
        <w:tc>
          <w:tcPr>
            <w:tcW w:w="1382" w:type="dxa"/>
            <w:vAlign w:val="center"/>
          </w:tcPr>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hAnsi="黑体" w:eastAsia="仿宋_GB2312"/>
                <w:b/>
                <w:bCs/>
                <w:sz w:val="24"/>
                <w:szCs w:val="24"/>
              </w:rPr>
            </w:pPr>
            <w:r>
              <w:rPr>
                <w:rFonts w:hint="eastAsia" w:ascii="仿宋_GB2312" w:hAnsi="黑体" w:eastAsia="仿宋_GB2312"/>
                <w:b/>
                <w:bCs/>
                <w:sz w:val="24"/>
                <w:szCs w:val="24"/>
              </w:rPr>
              <w:t>维保年限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2" w:hRule="atLeast"/>
          <w:jc w:val="center"/>
        </w:trPr>
        <w:tc>
          <w:tcPr>
            <w:tcW w:w="1338" w:type="dxa"/>
            <w:vAlign w:val="center"/>
          </w:tcPr>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hAnsi="黑体" w:eastAsia="仿宋_GB2312"/>
                <w:sz w:val="28"/>
                <w:szCs w:val="28"/>
              </w:rPr>
            </w:pPr>
            <w:r>
              <w:rPr>
                <w:rFonts w:hint="eastAsia" w:ascii="仿宋_GB2312" w:eastAsia="仿宋_GB2312" w:cs="宋体" w:hAnsiTheme="majorEastAsia"/>
                <w:color w:val="000000"/>
                <w:kern w:val="0"/>
                <w:sz w:val="28"/>
                <w:szCs w:val="28"/>
              </w:rPr>
              <w:t>脉动真空灭菌器</w:t>
            </w:r>
          </w:p>
        </w:tc>
        <w:tc>
          <w:tcPr>
            <w:tcW w:w="2160" w:type="dxa"/>
            <w:vAlign w:val="center"/>
          </w:tcPr>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eastAsia="仿宋_GB2312" w:cs="宋体" w:hAnsiTheme="majorEastAsia"/>
                <w:color w:val="000000"/>
                <w:sz w:val="28"/>
                <w:szCs w:val="28"/>
              </w:rPr>
            </w:pPr>
            <w:r>
              <w:rPr>
                <w:rFonts w:hint="eastAsia" w:ascii="仿宋_GB2312" w:eastAsia="仿宋_GB2312" w:cs="宋体" w:hAnsiTheme="majorEastAsia"/>
                <w:color w:val="000000"/>
                <w:sz w:val="28"/>
                <w:szCs w:val="28"/>
              </w:rPr>
              <w:t>山东新华</w:t>
            </w:r>
          </w:p>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hAnsi="黑体" w:eastAsia="仿宋_GB2312"/>
                <w:sz w:val="28"/>
                <w:szCs w:val="28"/>
              </w:rPr>
            </w:pPr>
            <w:r>
              <w:rPr>
                <w:rFonts w:hint="eastAsia" w:ascii="仿宋_GB2312" w:eastAsia="仿宋_GB2312" w:cs="宋体" w:hAnsiTheme="majorEastAsia"/>
                <w:color w:val="000000"/>
                <w:sz w:val="28"/>
                <w:szCs w:val="28"/>
                <w:shd w:val="clear" w:color="auto" w:fill="FFFFFF"/>
              </w:rPr>
              <w:t>MAST-A-810</w:t>
            </w:r>
          </w:p>
        </w:tc>
        <w:tc>
          <w:tcPr>
            <w:tcW w:w="1320" w:type="dxa"/>
            <w:vAlign w:val="center"/>
          </w:tcPr>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hAnsi="黑体" w:eastAsia="仿宋_GB2312"/>
                <w:sz w:val="28"/>
                <w:szCs w:val="28"/>
              </w:rPr>
            </w:pPr>
            <w:r>
              <w:rPr>
                <w:rFonts w:hint="eastAsia" w:ascii="仿宋_GB2312" w:hAnsi="黑体" w:eastAsia="仿宋_GB2312"/>
                <w:sz w:val="28"/>
                <w:szCs w:val="28"/>
              </w:rPr>
              <w:t>1台</w:t>
            </w:r>
          </w:p>
        </w:tc>
        <w:tc>
          <w:tcPr>
            <w:tcW w:w="1395" w:type="dxa"/>
            <w:vAlign w:val="center"/>
          </w:tcPr>
          <w:p>
            <w:pPr>
              <w:keepNext w:val="0"/>
              <w:keepLines w:val="0"/>
              <w:pageBreakBefore w:val="0"/>
              <w:kinsoku/>
              <w:wordWrap/>
              <w:overflowPunct/>
              <w:topLinePunct w:val="0"/>
              <w:autoSpaceDE/>
              <w:autoSpaceDN/>
              <w:bidi w:val="0"/>
              <w:adjustRightInd/>
              <w:snapToGrid/>
              <w:spacing w:line="240" w:lineRule="atLeast"/>
              <w:ind w:firstLine="0" w:firstLineChars="0"/>
              <w:jc w:val="center"/>
              <w:textAlignment w:val="auto"/>
              <w:rPr>
                <w:rFonts w:ascii="仿宋_GB2312" w:hAnsi="黑体" w:eastAsia="仿宋_GB2312"/>
                <w:sz w:val="28"/>
                <w:szCs w:val="28"/>
              </w:rPr>
            </w:pPr>
            <w:r>
              <w:rPr>
                <w:rFonts w:hint="eastAsia" w:ascii="仿宋_GB2312" w:eastAsia="仿宋_GB2312" w:cs="宋体" w:hAnsiTheme="majorEastAsia"/>
                <w:color w:val="000000"/>
                <w:sz w:val="28"/>
                <w:szCs w:val="28"/>
                <w:shd w:val="clear" w:color="auto" w:fill="FFFFFF"/>
              </w:rPr>
              <w:t>20142697</w:t>
            </w:r>
          </w:p>
        </w:tc>
        <w:tc>
          <w:tcPr>
            <w:tcW w:w="1441" w:type="dxa"/>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黑体" w:eastAsia="仿宋_GB2312"/>
                <w:sz w:val="28"/>
                <w:szCs w:val="28"/>
              </w:rPr>
            </w:pPr>
            <w:r>
              <w:rPr>
                <w:rFonts w:hint="eastAsia" w:ascii="仿宋_GB2312" w:hAnsi="黑体" w:eastAsia="仿宋_GB2312"/>
                <w:sz w:val="28"/>
                <w:szCs w:val="28"/>
              </w:rPr>
              <w:t>全保</w:t>
            </w:r>
          </w:p>
        </w:tc>
        <w:tc>
          <w:tcPr>
            <w:tcW w:w="1382" w:type="dxa"/>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仿宋_GB2312" w:hAnsi="黑体" w:eastAsia="仿宋_GB2312"/>
                <w:sz w:val="28"/>
                <w:szCs w:val="28"/>
              </w:rPr>
            </w:pPr>
            <w:r>
              <w:rPr>
                <w:rFonts w:hint="eastAsia" w:ascii="仿宋_GB2312" w:hAnsi="黑体" w:eastAsia="仿宋_GB2312"/>
                <w:sz w:val="28"/>
                <w:szCs w:val="28"/>
              </w:rPr>
              <w:t>1年</w:t>
            </w:r>
          </w:p>
        </w:tc>
      </w:tr>
    </w:tbl>
    <w:p>
      <w:pPr>
        <w:ind w:left="0" w:leftChars="0" w:firstLine="0" w:firstLineChars="0"/>
      </w:pPr>
    </w:p>
    <w:p>
      <w:pPr>
        <w:ind w:firstLine="420"/>
      </w:pPr>
    </w:p>
    <w:p>
      <w:pPr>
        <w:ind w:firstLine="420"/>
      </w:pPr>
    </w:p>
    <w:p>
      <w:pPr>
        <w:ind w:firstLine="420"/>
      </w:pPr>
    </w:p>
    <w:p>
      <w:pPr>
        <w:spacing w:line="560" w:lineRule="atLeast"/>
        <w:ind w:firstLine="0" w:firstLineChars="0"/>
        <w:rPr>
          <w:rFonts w:hint="eastAsia" w:ascii="仿宋_GB2312" w:hAnsi="仿宋_GB2312" w:eastAsia="仿宋_GB2312" w:cs="仿宋_GB2312"/>
          <w:bCs/>
          <w:color w:val="000000" w:themeColor="text1"/>
          <w:szCs w:val="21"/>
          <w14:textFill>
            <w14:solidFill>
              <w14:schemeClr w14:val="tx1"/>
            </w14:solidFill>
          </w14:textFill>
        </w:rPr>
      </w:pPr>
    </w:p>
    <w:p>
      <w:pPr>
        <w:spacing w:line="560" w:lineRule="atLeast"/>
        <w:ind w:firstLine="0" w:firstLineChars="0"/>
        <w:rPr>
          <w:rFonts w:hint="eastAsia" w:ascii="仿宋_GB2312" w:hAnsi="仿宋_GB2312" w:eastAsia="仿宋_GB2312" w:cs="仿宋_GB2312"/>
          <w:b/>
          <w:bCs w:val="0"/>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bCs w:val="0"/>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bCs w:val="0"/>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bCs w:val="0"/>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bCs w:val="0"/>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bCs w:val="0"/>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bCs w:val="0"/>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bCs w:val="0"/>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bCs w:val="0"/>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val="0"/>
          <w:bCs/>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val="0"/>
          <w:bCs/>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val="0"/>
          <w:bCs/>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val="0"/>
          <w:bCs/>
          <w:color w:val="000000" w:themeColor="text1"/>
          <w:sz w:val="30"/>
          <w:szCs w:val="30"/>
          <w14:textFill>
            <w14:solidFill>
              <w14:schemeClr w14:val="tx1"/>
            </w14:solidFill>
          </w14:textFill>
        </w:rPr>
      </w:pPr>
    </w:p>
    <w:p>
      <w:pPr>
        <w:spacing w:line="560" w:lineRule="atLeast"/>
        <w:ind w:firstLine="0" w:firstLineChars="0"/>
        <w:rPr>
          <w:rFonts w:hint="eastAsia" w:ascii="仿宋_GB2312" w:hAnsi="仿宋_GB2312" w:eastAsia="仿宋_GB2312" w:cs="仿宋_GB2312"/>
          <w:b w:val="0"/>
          <w:bCs/>
          <w:color w:val="000000" w:themeColor="text1"/>
          <w:sz w:val="30"/>
          <w:szCs w:val="30"/>
          <w14:textFill>
            <w14:solidFill>
              <w14:schemeClr w14:val="tx1"/>
            </w14:solidFill>
          </w14:textFill>
        </w:rPr>
      </w:pPr>
      <w:r>
        <w:rPr>
          <w:rFonts w:hint="eastAsia" w:ascii="仿宋_GB2312" w:hAnsi="仿宋_GB2312" w:eastAsia="仿宋_GB2312" w:cs="仿宋_GB2312"/>
          <w:b w:val="0"/>
          <w:bCs/>
          <w:color w:val="000000" w:themeColor="text1"/>
          <w:sz w:val="30"/>
          <w:szCs w:val="30"/>
          <w14:textFill>
            <w14:solidFill>
              <w14:schemeClr w14:val="tx1"/>
            </w14:solidFill>
          </w14:textFill>
        </w:rPr>
        <w:t>附件</w:t>
      </w:r>
      <w:r>
        <w:rPr>
          <w:rFonts w:hint="eastAsia" w:ascii="仿宋_GB2312" w:hAnsi="仿宋_GB2312" w:eastAsia="仿宋_GB2312" w:cs="仿宋_GB2312"/>
          <w:b w:val="0"/>
          <w:bCs/>
          <w:color w:val="000000" w:themeColor="text1"/>
          <w:sz w:val="30"/>
          <w:szCs w:val="30"/>
          <w:lang w:val="en-US" w:eastAsia="zh-CN"/>
          <w14:textFill>
            <w14:solidFill>
              <w14:schemeClr w14:val="tx1"/>
            </w14:solidFill>
          </w14:textFill>
        </w:rPr>
        <w:t>2</w:t>
      </w:r>
    </w:p>
    <w:p>
      <w:pPr>
        <w:tabs>
          <w:tab w:val="left" w:pos="325"/>
          <w:tab w:val="center" w:pos="4153"/>
          <w:tab w:val="right" w:pos="8306"/>
        </w:tabs>
        <w:ind w:left="0" w:leftChars="0" w:firstLine="0" w:firstLineChars="0"/>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b/>
          <w:color w:val="000000" w:themeColor="text1"/>
          <w:sz w:val="44"/>
          <w:szCs w:val="44"/>
          <w14:textFill>
            <w14:solidFill>
              <w14:schemeClr w14:val="tx1"/>
            </w14:solidFill>
          </w14:textFill>
        </w:rPr>
        <w:t>脉动真空灭菌器维保技术服务</w:t>
      </w:r>
      <w:r>
        <w:rPr>
          <w:rFonts w:hint="eastAsia" w:ascii="方正小标宋简体" w:hAnsi="方正小标宋简体" w:eastAsia="方正小标宋简体" w:cs="方正小标宋简体"/>
          <w:b/>
          <w:color w:val="000000" w:themeColor="text1"/>
          <w:sz w:val="44"/>
          <w:szCs w:val="44"/>
          <w:lang w:eastAsia="zh-CN"/>
          <w14:textFill>
            <w14:solidFill>
              <w14:schemeClr w14:val="tx1"/>
            </w14:solidFill>
          </w14:textFill>
        </w:rPr>
        <w:t>要求</w:t>
      </w:r>
    </w:p>
    <w:tbl>
      <w:tblPr>
        <w:tblStyle w:val="8"/>
        <w:tblpPr w:leftFromText="180" w:rightFromText="180" w:vertAnchor="text" w:tblpY="1"/>
        <w:tblOverlap w:val="never"/>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7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66" w:type="dxa"/>
            <w:vAlign w:val="center"/>
          </w:tcPr>
          <w:p>
            <w:pPr>
              <w:pStyle w:val="2"/>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Theme="minorEastAsia" w:hAnsiTheme="minorEastAsia" w:eastAsiaTheme="minorEastAsia"/>
                <w:b/>
                <w:szCs w:val="21"/>
              </w:rPr>
            </w:pPr>
            <w:r>
              <w:rPr>
                <w:rFonts w:hint="eastAsia" w:asciiTheme="minorEastAsia" w:hAnsiTheme="minorEastAsia" w:eastAsiaTheme="minorEastAsia"/>
                <w:b/>
                <w:szCs w:val="21"/>
              </w:rPr>
              <w:t>项目名称</w:t>
            </w:r>
          </w:p>
        </w:tc>
        <w:tc>
          <w:tcPr>
            <w:tcW w:w="7389" w:type="dxa"/>
            <w:vAlign w:val="center"/>
          </w:tcPr>
          <w:p>
            <w:pPr>
              <w:pStyle w:val="2"/>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Theme="minorEastAsia" w:hAnsiTheme="minorEastAsia" w:eastAsiaTheme="minorEastAsia"/>
                <w:b/>
                <w:szCs w:val="21"/>
                <w:lang w:eastAsia="zh-CN"/>
              </w:rPr>
            </w:pPr>
            <w:r>
              <w:rPr>
                <w:rFonts w:hint="eastAsia" w:asciiTheme="minorEastAsia" w:hAnsiTheme="minorEastAsia" w:eastAsiaTheme="minorEastAsia"/>
                <w:b/>
                <w:szCs w:val="21"/>
                <w:lang w:eastAsia="zh-CN"/>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4" w:hRule="atLeast"/>
        </w:trPr>
        <w:tc>
          <w:tcPr>
            <w:tcW w:w="1366" w:type="dxa"/>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contextualSpacing/>
              <w:jc w:val="both"/>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脉动真空灭菌器维保技术服务</w:t>
            </w:r>
          </w:p>
        </w:tc>
        <w:tc>
          <w:tcPr>
            <w:tcW w:w="7389" w:type="dxa"/>
            <w:vAlign w:val="center"/>
          </w:tcPr>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asciiTheme="minorEastAsia" w:hAnsiTheme="minorEastAsia" w:eastAsiaTheme="minorEastAsia"/>
                <w:b w:val="0"/>
                <w:bCs/>
                <w:szCs w:val="21"/>
              </w:rPr>
            </w:pPr>
            <w:r>
              <w:rPr>
                <w:rFonts w:hint="eastAsia" w:asciiTheme="minorEastAsia" w:hAnsiTheme="minorEastAsia" w:eastAsiaTheme="minorEastAsia"/>
                <w:b/>
                <w:szCs w:val="21"/>
              </w:rPr>
              <w:t>一</w:t>
            </w:r>
            <w:r>
              <w:rPr>
                <w:rFonts w:hint="eastAsia" w:asciiTheme="minorEastAsia" w:hAnsiTheme="minorEastAsia" w:eastAsiaTheme="minorEastAsia"/>
                <w:b w:val="0"/>
                <w:bCs/>
                <w:szCs w:val="21"/>
              </w:rPr>
              <w:t>、服务要求</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asciiTheme="minorEastAsia" w:hAnsiTheme="minorEastAsia" w:eastAsiaTheme="minorEastAsia"/>
                <w:b w:val="0"/>
                <w:bCs/>
                <w:szCs w:val="21"/>
              </w:rPr>
            </w:pPr>
            <w:r>
              <w:rPr>
                <w:rFonts w:hint="eastAsia" w:asciiTheme="minorEastAsia" w:hAnsiTheme="minorEastAsia" w:eastAsiaTheme="minorEastAsia"/>
                <w:b w:val="0"/>
                <w:bCs/>
                <w:szCs w:val="21"/>
              </w:rPr>
              <w:t>1.</w:t>
            </w:r>
            <w:r>
              <w:rPr>
                <w:rFonts w:hint="eastAsia" w:cs="宋体" w:asciiTheme="minorEastAsia" w:hAnsiTheme="minorEastAsia" w:eastAsiaTheme="minorEastAsia"/>
                <w:b w:val="0"/>
                <w:bCs/>
                <w:szCs w:val="21"/>
              </w:rPr>
              <w:t>维保工作承接公司设专业工程师为维保设备提供专业化的维保服务。</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shd w:val="clear" w:color="auto" w:fill="FFFFFF"/>
              </w:rPr>
            </w:pPr>
            <w:r>
              <w:rPr>
                <w:rFonts w:hint="eastAsia" w:asciiTheme="minorEastAsia" w:hAnsiTheme="minorEastAsia" w:eastAsiaTheme="minorEastAsia"/>
                <w:b w:val="0"/>
                <w:bCs/>
                <w:szCs w:val="21"/>
              </w:rPr>
              <w:t>2.</w:t>
            </w:r>
            <w:r>
              <w:rPr>
                <w:rFonts w:hint="eastAsia" w:cs="宋体" w:asciiTheme="minorEastAsia" w:hAnsiTheme="minorEastAsia" w:eastAsiaTheme="minorEastAsia"/>
                <w:b w:val="0"/>
                <w:bCs/>
                <w:szCs w:val="21"/>
                <w:shd w:val="clear" w:color="auto" w:fill="FFFFFF"/>
              </w:rPr>
              <w:t>承诺维保设备报修24小时全天候服务，设备出现故障时，1-2小时达到现场。</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asciiTheme="minorEastAsia" w:hAnsiTheme="minorEastAsia" w:eastAsiaTheme="minorEastAsia"/>
                <w:b w:val="0"/>
                <w:bCs/>
                <w:szCs w:val="21"/>
              </w:rPr>
            </w:pPr>
            <w:r>
              <w:rPr>
                <w:rFonts w:hint="eastAsia" w:asciiTheme="minorEastAsia" w:hAnsiTheme="minorEastAsia" w:eastAsiaTheme="minorEastAsia"/>
                <w:b w:val="0"/>
                <w:bCs/>
                <w:szCs w:val="21"/>
              </w:rPr>
              <w:t>3.保证设备正常待机率达到95%</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asciiTheme="minorEastAsia" w:hAnsiTheme="minorEastAsia" w:eastAsiaTheme="minorEastAsia"/>
                <w:b w:val="0"/>
                <w:bCs/>
                <w:szCs w:val="21"/>
              </w:rPr>
            </w:pPr>
            <w:r>
              <w:rPr>
                <w:rFonts w:hint="eastAsia" w:asciiTheme="minorEastAsia" w:hAnsiTheme="minorEastAsia" w:eastAsiaTheme="minorEastAsia"/>
                <w:b w:val="0"/>
                <w:bCs/>
                <w:szCs w:val="21"/>
              </w:rPr>
              <w:t>二、服务内容</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ascii="楷体_GB2312" w:eastAsia="楷体_GB2312" w:cs="宋体" w:hAnsiTheme="minorEastAsia"/>
                <w:b w:val="0"/>
                <w:bCs/>
                <w:szCs w:val="21"/>
              </w:rPr>
            </w:pPr>
            <w:r>
              <w:rPr>
                <w:rFonts w:hint="eastAsia" w:ascii="楷体_GB2312" w:eastAsia="楷体_GB2312" w:hAnsiTheme="minorEastAsia"/>
                <w:b w:val="0"/>
                <w:bCs/>
                <w:szCs w:val="21"/>
              </w:rPr>
              <w:t>（一）</w:t>
            </w:r>
            <w:r>
              <w:rPr>
                <w:rFonts w:hint="eastAsia" w:ascii="楷体_GB2312" w:eastAsia="楷体_GB2312" w:cs="宋体" w:hAnsiTheme="minorEastAsia"/>
                <w:b w:val="0"/>
                <w:bCs/>
                <w:szCs w:val="21"/>
              </w:rPr>
              <w:t>小保养项目及内容（1个月1次）</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1.紧固内室进汽挡汽板，门把手，内车导轨，搬运车，真空泵固定底座，门导轨导向铜条，门行程开关等固定螺丝。</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2.检查水汽连接管路是否有泄漏，尤其软连接管路。</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3.检查开关门过程是否灵活，有无噪音，安全保护是否有效</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4.清洗保养门胶条及密封门槽，检查门胶条是否老化损坏，门槽是否变形。5.检查加水箱进水量，水位浮球控制是否灵活。</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6.检查疏水阀疏水是否通畅，阀体是否漏水。</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7.拉动安全阀阀柄，检查是否正常放汽（注意安全）。</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8.检查清理真空泵消音器。</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9.检查消毒内车及轨道滑动是否灵活。</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10.检查平移门螺纹气缸动作是否灵活（平移门老型号）。</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11.对压缩空气汽水分离器进行放水保养。</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12.清理设备内室表面及排汽口过滤网。</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13.检查触摸屏反应是否灵敏，必要时进行校准。</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14.检查设备系统参数及各灭菌程序参数是否正常。</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15.检查打印机工作是否正常，打印是否清晰。</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16.运行程序检查程序各阶段是否正常，升温速度、干燥效果。</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ascii="楷体_GB2312" w:eastAsia="楷体_GB2312" w:cs="宋体" w:hAnsiTheme="minorEastAsia"/>
                <w:b w:val="0"/>
                <w:bCs/>
                <w:szCs w:val="21"/>
              </w:rPr>
            </w:pPr>
            <w:r>
              <w:rPr>
                <w:rFonts w:hint="eastAsia" w:ascii="楷体_GB2312" w:eastAsia="楷体_GB2312" w:cs="宋体" w:hAnsiTheme="minorEastAsia"/>
                <w:b w:val="0"/>
                <w:bCs/>
                <w:szCs w:val="21"/>
              </w:rPr>
              <w:t>（二）中保养项目及内容（6个月1次）</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1.检查内容应包含月度保养内容。</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2.对门电机组件及门轴进行上油。</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3.检查安全阀是否能有效开启。</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4.检查门安全连锁装置是否可靠。</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5.压力表指示数值与触屏显示数值是否一致。</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6.检查冷凝器、真空泵、电磁阀、电热汽包、电热汽包水位计、加水泵、加热管密封、截止阀、手动门膜片、减压阀、疏水阀、水箱、设备主体等部件是否泄漏。</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7.清理设备进水、进汽、疏水、排汽管路的过滤器，电热设备水位计连接铜管，汽包水位检测装置的探针（水筒、连接管、探针）。</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8.检查抽空、疏水、排水、真空泵进水等管路的止回阀的密封是否漏水漏汽。9.紧固真空泵、加热管等大功率部件及电源线的所有连接线（包含控制箱断路器、交流接触器、热保护器、接线端子的所有接线）同时检查是否有老化现象，按需更换。</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10.检测真空泵、加热管的安全保护是否工作正常。</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11.启动真空泵，检查噪音是否异常，消音器是否堵塞漏水，必要时清理更换。12.检查阀岛、电动执行器是否漏汽、动作是否灵活。</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13.检查压力表的检验日期是否有效，必要时协助到相关部门免费监测。</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14.运行保压程序进行保压测试，检查内室及管路是否有泄漏。</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15.满载运行程序测试脉动时间、升温时间、灭菌效果、干燥效果。</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ascii="楷体_GB2312" w:eastAsia="楷体_GB2312" w:cs="宋体" w:hAnsiTheme="minorEastAsia"/>
                <w:b w:val="0"/>
                <w:bCs/>
                <w:szCs w:val="21"/>
              </w:rPr>
            </w:pPr>
            <w:r>
              <w:rPr>
                <w:rFonts w:hint="eastAsia" w:ascii="楷体_GB2312" w:eastAsia="楷体_GB2312" w:cs="宋体" w:hAnsiTheme="minorEastAsia"/>
                <w:b w:val="0"/>
                <w:bCs/>
                <w:szCs w:val="21"/>
              </w:rPr>
              <w:t>（三）年检项目及内容（一年一次）</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1.保养应包含半年保养项目。</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2.免费更换蒸汽管路卡箍的所有密封垫。</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3.免费更换空气过滤器滤芯 。</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4.检查进水软管是否老化按需更换。</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5.检查平移门灭菌器门传动皮带是否老化（按需更换 ）。</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6.紧固电器箱内所有接线端子及除尘保养。</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7.紧固设备所有检测部件（开关、温度、压力等）、执行部件（泵、阀、电机等）的接线。</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8.检查各个输入、输出信号是否正常。</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9.手动测试各个泵、阀、电机等部件动作是否正常。</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10.对触摸屏灵敏度进行校正。</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11.对设备各检测开关、执行部件及设备本身进行除尘保养。</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12.对真空泵及排水管路、汽包、加热管进行除垢（使用纯水、软水的客户按需清理）。</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cs="宋体" w:asciiTheme="minorEastAsia" w:hAnsiTheme="minorEastAsia" w:eastAsiaTheme="minorEastAsia"/>
                <w:b w:val="0"/>
                <w:bCs/>
                <w:szCs w:val="21"/>
              </w:rPr>
            </w:pPr>
            <w:r>
              <w:rPr>
                <w:rFonts w:hint="eastAsia" w:cs="宋体" w:asciiTheme="minorEastAsia" w:hAnsiTheme="minorEastAsia" w:eastAsiaTheme="minorEastAsia"/>
                <w:b w:val="0"/>
                <w:bCs/>
                <w:szCs w:val="21"/>
              </w:rPr>
              <w:t>13.检查安全阀的检验日期是否有效，必要时协助到相关部门免费检测。</w:t>
            </w:r>
          </w:p>
          <w:p>
            <w:pPr>
              <w:pStyle w:val="2"/>
              <w:keepNext w:val="0"/>
              <w:keepLines w:val="0"/>
              <w:pageBreakBefore w:val="0"/>
              <w:widowControl w:val="0"/>
              <w:kinsoku/>
              <w:wordWrap/>
              <w:overflowPunct/>
              <w:topLinePunct w:val="0"/>
              <w:autoSpaceDE/>
              <w:autoSpaceDN/>
              <w:bidi w:val="0"/>
              <w:adjustRightInd/>
              <w:snapToGrid/>
              <w:spacing w:after="0" w:line="400" w:lineRule="exact"/>
              <w:ind w:firstLine="0" w:firstLineChars="0"/>
              <w:contextualSpacing/>
              <w:jc w:val="both"/>
              <w:textAlignment w:val="auto"/>
              <w:rPr>
                <w:rFonts w:hint="eastAsia" w:asciiTheme="minorEastAsia" w:hAnsiTheme="minorEastAsia" w:eastAsiaTheme="minorEastAsia"/>
                <w:szCs w:val="21"/>
              </w:rPr>
            </w:pPr>
            <w:r>
              <w:rPr>
                <w:rFonts w:hint="eastAsia" w:cs="宋体" w:asciiTheme="minorEastAsia" w:hAnsiTheme="minorEastAsia" w:eastAsiaTheme="minorEastAsia"/>
                <w:b w:val="0"/>
                <w:bCs/>
                <w:szCs w:val="21"/>
              </w:rPr>
              <w:t>14.检查内室压力、温度关系是否对应，电脑监控显示与设备是否一致。</w:t>
            </w:r>
          </w:p>
        </w:tc>
      </w:tr>
    </w:tbl>
    <w:p>
      <w:pPr>
        <w:ind w:left="0" w:leftChars="0" w:firstLine="0" w:firstLineChars="0"/>
        <w:jc w:val="both"/>
        <w:rPr>
          <w:rFonts w:ascii="仿宋_GB2312" w:hAnsi="仿宋" w:eastAsia="仿宋_GB2312"/>
          <w:b/>
          <w:color w:val="000000" w:themeColor="text1"/>
          <w:sz w:val="30"/>
          <w:szCs w:val="30"/>
          <w14:textFill>
            <w14:solidFill>
              <w14:schemeClr w14:val="tx1"/>
            </w14:solidFill>
          </w14:textFill>
        </w:rPr>
      </w:pPr>
    </w:p>
    <w:p>
      <w:pPr>
        <w:widowControl/>
        <w:ind w:firstLine="0" w:firstLineChars="0"/>
        <w:rPr>
          <w:rFonts w:hint="eastAsia" w:ascii="宋体" w:hAnsi="宋体" w:cs="宋体"/>
          <w:bCs/>
          <w:kern w:val="0"/>
          <w:szCs w:val="21"/>
        </w:rPr>
      </w:pPr>
    </w:p>
    <w:p>
      <w:pPr>
        <w:widowControl/>
        <w:ind w:firstLine="0" w:firstLineChars="0"/>
        <w:rPr>
          <w:rFonts w:hint="eastAsia" w:ascii="仿宋_GB2312" w:hAnsi="仿宋_GB2312" w:eastAsia="仿宋_GB2312" w:cs="仿宋_GB2312"/>
          <w:b w:val="0"/>
          <w:bCs/>
          <w:kern w:val="0"/>
          <w:sz w:val="30"/>
          <w:szCs w:val="30"/>
        </w:rPr>
      </w:pPr>
      <w:r>
        <w:rPr>
          <w:rFonts w:hint="eastAsia" w:ascii="仿宋_GB2312" w:hAnsi="仿宋_GB2312" w:eastAsia="仿宋_GB2312" w:cs="仿宋_GB2312"/>
          <w:b w:val="0"/>
          <w:bCs/>
          <w:kern w:val="0"/>
          <w:sz w:val="30"/>
          <w:szCs w:val="30"/>
        </w:rPr>
        <w:t>附件3</w:t>
      </w:r>
    </w:p>
    <w:p>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rPr>
      </w:pPr>
      <w:r>
        <w:rPr>
          <w:rFonts w:hint="eastAsia" w:ascii="方正小标宋简体" w:hAnsi="方正小标宋简体" w:eastAsia="方正小标宋简体" w:cs="方正小标宋简体"/>
          <w:b/>
          <w:color w:val="000000" w:themeColor="text1"/>
          <w:sz w:val="44"/>
          <w:szCs w:val="44"/>
          <w14:textFill>
            <w14:solidFill>
              <w14:schemeClr w14:val="tx1"/>
            </w14:solidFill>
          </w14:textFill>
        </w:rPr>
        <w:t>脉动真空灭菌器维保技术服务</w:t>
      </w:r>
      <w:r>
        <w:rPr>
          <w:rFonts w:hint="eastAsia" w:ascii="方正小标宋简体" w:hAnsi="方正小标宋简体" w:eastAsia="方正小标宋简体" w:cs="方正小标宋简体"/>
          <w:b/>
          <w:kern w:val="0"/>
          <w:sz w:val="44"/>
          <w:szCs w:val="44"/>
        </w:rPr>
        <w:t>报价表</w:t>
      </w:r>
    </w:p>
    <w:tbl>
      <w:tblPr>
        <w:tblStyle w:val="7"/>
        <w:tblW w:w="8299" w:type="dxa"/>
        <w:jc w:val="center"/>
        <w:tblInd w:w="0" w:type="dxa"/>
        <w:tblLayout w:type="fixed"/>
        <w:tblCellMar>
          <w:top w:w="0" w:type="dxa"/>
          <w:left w:w="108" w:type="dxa"/>
          <w:bottom w:w="0" w:type="dxa"/>
          <w:right w:w="108" w:type="dxa"/>
        </w:tblCellMar>
      </w:tblPr>
      <w:tblGrid>
        <w:gridCol w:w="2409"/>
        <w:gridCol w:w="2221"/>
        <w:gridCol w:w="3669"/>
      </w:tblGrid>
      <w:tr>
        <w:tblPrEx>
          <w:tblLayout w:type="fixed"/>
          <w:tblCellMar>
            <w:top w:w="0" w:type="dxa"/>
            <w:left w:w="108" w:type="dxa"/>
            <w:bottom w:w="0" w:type="dxa"/>
            <w:right w:w="108" w:type="dxa"/>
          </w:tblCellMar>
        </w:tblPrEx>
        <w:trPr>
          <w:trHeight w:val="454" w:hRule="atLeast"/>
          <w:jc w:val="center"/>
        </w:trPr>
        <w:tc>
          <w:tcPr>
            <w:tcW w:w="24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ind w:firstLine="0" w:firstLineChars="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项目名称</w:t>
            </w:r>
          </w:p>
        </w:tc>
        <w:tc>
          <w:tcPr>
            <w:tcW w:w="222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ind w:left="0" w:leftChars="0" w:firstLine="0" w:firstLineChars="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rPr>
              <w:t>维保费报价（元）</w:t>
            </w:r>
          </w:p>
        </w:tc>
        <w:tc>
          <w:tcPr>
            <w:tcW w:w="36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0" w:leftChars="0" w:firstLine="0" w:firstLineChars="0"/>
              <w:jc w:val="center"/>
              <w:rPr>
                <w:rFonts w:hint="eastAsia" w:ascii="仿宋_GB2312" w:hAnsi="仿宋_GB2312" w:eastAsia="仿宋_GB2312" w:cs="仿宋_GB2312"/>
                <w:b w:val="0"/>
                <w:bCs/>
                <w:kern w:val="0"/>
                <w:sz w:val="28"/>
                <w:szCs w:val="28"/>
                <w:lang w:val="en-US" w:eastAsia="zh-CN"/>
              </w:rPr>
            </w:pPr>
            <w:r>
              <w:rPr>
                <w:rFonts w:hint="eastAsia" w:ascii="仿宋_GB2312" w:hAnsi="仿宋_GB2312" w:eastAsia="仿宋_GB2312" w:cs="仿宋_GB2312"/>
                <w:b w:val="0"/>
                <w:bCs/>
                <w:kern w:val="0"/>
                <w:sz w:val="28"/>
                <w:szCs w:val="28"/>
                <w:lang w:val="en-US" w:eastAsia="zh-CN"/>
              </w:rPr>
              <w:t>技术服务要求</w:t>
            </w:r>
          </w:p>
          <w:p>
            <w:pPr>
              <w:widowControl/>
              <w:ind w:left="0" w:leftChars="0" w:firstLine="0" w:firstLineChars="0"/>
              <w:jc w:val="center"/>
              <w:rPr>
                <w:rFonts w:hint="eastAsia" w:ascii="仿宋_GB2312" w:hAnsi="仿宋_GB2312" w:eastAsia="仿宋_GB2312" w:cs="仿宋_GB2312"/>
                <w:b w:val="0"/>
                <w:bCs/>
                <w:kern w:val="0"/>
                <w:sz w:val="28"/>
                <w:szCs w:val="28"/>
                <w:lang w:val="en-US" w:eastAsia="zh-CN"/>
              </w:rPr>
            </w:pPr>
            <w:r>
              <w:rPr>
                <w:rFonts w:hint="eastAsia" w:ascii="仿宋_GB2312" w:hAnsi="仿宋_GB2312" w:eastAsia="仿宋_GB2312" w:cs="仿宋_GB2312"/>
                <w:b w:val="0"/>
                <w:bCs/>
                <w:kern w:val="0"/>
                <w:sz w:val="28"/>
                <w:szCs w:val="28"/>
                <w:lang w:val="en-US" w:eastAsia="zh-CN"/>
              </w:rPr>
              <w:t>符合率（有无偏离）</w:t>
            </w:r>
          </w:p>
        </w:tc>
      </w:tr>
      <w:tr>
        <w:tblPrEx>
          <w:tblLayout w:type="fixed"/>
          <w:tblCellMar>
            <w:top w:w="0" w:type="dxa"/>
            <w:left w:w="108" w:type="dxa"/>
            <w:bottom w:w="0" w:type="dxa"/>
            <w:right w:w="108" w:type="dxa"/>
          </w:tblCellMar>
        </w:tblPrEx>
        <w:trPr>
          <w:trHeight w:val="454" w:hRule="atLeast"/>
          <w:jc w:val="center"/>
        </w:trPr>
        <w:tc>
          <w:tcPr>
            <w:tcW w:w="24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ind w:firstLine="0" w:firstLineChars="0"/>
              <w:jc w:val="center"/>
              <w:rPr>
                <w:rFonts w:hint="eastAsia" w:ascii="仿宋_GB2312" w:hAnsi="仿宋_GB2312" w:eastAsia="仿宋_GB2312" w:cs="仿宋_GB2312"/>
                <w:b w:val="0"/>
                <w:bCs/>
                <w:kern w:val="0"/>
                <w:sz w:val="28"/>
                <w:szCs w:val="28"/>
              </w:rPr>
            </w:pPr>
            <w:r>
              <w:rPr>
                <w:rFonts w:hint="eastAsia" w:ascii="仿宋_GB2312" w:hAnsi="仿宋_GB2312" w:eastAsia="仿宋_GB2312" w:cs="仿宋_GB2312"/>
                <w:b w:val="0"/>
                <w:bCs/>
                <w:kern w:val="0"/>
                <w:sz w:val="28"/>
                <w:szCs w:val="28"/>
                <w:lang w:val="en-US" w:eastAsia="zh-CN"/>
              </w:rPr>
              <w:t>2025</w:t>
            </w:r>
            <w:r>
              <w:rPr>
                <w:rFonts w:hint="eastAsia" w:ascii="仿宋_GB2312" w:hAnsi="仿宋_GB2312" w:eastAsia="仿宋_GB2312" w:cs="仿宋_GB2312"/>
                <w:b w:val="0"/>
                <w:bCs/>
                <w:color w:val="000000" w:themeColor="text1"/>
                <w:sz w:val="28"/>
                <w:szCs w:val="28"/>
                <w:lang w:val="en-US" w:eastAsia="zh-CN"/>
                <w14:textFill>
                  <w14:solidFill>
                    <w14:schemeClr w14:val="tx1"/>
                  </w14:solidFill>
                </w14:textFill>
              </w:rPr>
              <w:t>年</w:t>
            </w:r>
            <w:r>
              <w:rPr>
                <w:rFonts w:hint="eastAsia" w:ascii="仿宋_GB2312" w:hAnsi="仿宋_GB2312" w:eastAsia="仿宋_GB2312" w:cs="仿宋_GB2312"/>
                <w:b w:val="0"/>
                <w:bCs/>
                <w:color w:val="000000" w:themeColor="text1"/>
                <w:sz w:val="28"/>
                <w:szCs w:val="28"/>
                <w14:textFill>
                  <w14:solidFill>
                    <w14:schemeClr w14:val="tx1"/>
                  </w14:solidFill>
                </w14:textFill>
              </w:rPr>
              <w:t>脉动真空灭菌器维保技术服务</w:t>
            </w:r>
            <w:r>
              <w:rPr>
                <w:rFonts w:hint="eastAsia" w:ascii="仿宋_GB2312" w:hAnsi="仿宋_GB2312" w:eastAsia="仿宋_GB2312" w:cs="仿宋_GB2312"/>
                <w:b w:val="0"/>
                <w:bCs/>
                <w:kern w:val="0"/>
                <w:sz w:val="28"/>
                <w:szCs w:val="28"/>
              </w:rPr>
              <w:t>采购项目</w:t>
            </w:r>
          </w:p>
        </w:tc>
        <w:tc>
          <w:tcPr>
            <w:tcW w:w="222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ind w:firstLine="420"/>
              <w:jc w:val="center"/>
              <w:rPr>
                <w:rFonts w:hint="eastAsia" w:ascii="仿宋_GB2312" w:hAnsi="仿宋_GB2312" w:eastAsia="仿宋_GB2312" w:cs="仿宋_GB2312"/>
                <w:b w:val="0"/>
                <w:bCs/>
                <w:kern w:val="0"/>
                <w:sz w:val="28"/>
                <w:szCs w:val="28"/>
              </w:rPr>
            </w:pPr>
          </w:p>
        </w:tc>
        <w:tc>
          <w:tcPr>
            <w:tcW w:w="366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20"/>
              <w:jc w:val="center"/>
              <w:rPr>
                <w:rFonts w:hint="eastAsia" w:ascii="仿宋_GB2312" w:hAnsi="仿宋_GB2312" w:eastAsia="仿宋_GB2312" w:cs="仿宋_GB2312"/>
                <w:b w:val="0"/>
                <w:bCs/>
                <w:kern w:val="0"/>
                <w:sz w:val="28"/>
                <w:szCs w:val="28"/>
              </w:rPr>
            </w:pPr>
          </w:p>
        </w:tc>
      </w:tr>
    </w:tbl>
    <w:p>
      <w:pPr>
        <w:ind w:left="0" w:leftChars="0" w:firstLine="0" w:firstLineChars="0"/>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llMjkxNDJhNWU2NjJlMDJhNjUwYTE4ZWM3MDhiZTYifQ=="/>
  </w:docVars>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0F9268D2"/>
    <w:rsid w:val="0F997EAB"/>
    <w:rsid w:val="132101B2"/>
    <w:rsid w:val="13401367"/>
    <w:rsid w:val="1E365567"/>
    <w:rsid w:val="2104171C"/>
    <w:rsid w:val="22A83879"/>
    <w:rsid w:val="3B5C5C33"/>
    <w:rsid w:val="3DCA206F"/>
    <w:rsid w:val="47730969"/>
    <w:rsid w:val="47DF1462"/>
    <w:rsid w:val="54E006AA"/>
    <w:rsid w:val="566252D4"/>
    <w:rsid w:val="586219E2"/>
    <w:rsid w:val="59197DA9"/>
    <w:rsid w:val="59606F85"/>
    <w:rsid w:val="5C7B1351"/>
    <w:rsid w:val="60D24026"/>
    <w:rsid w:val="646833CB"/>
    <w:rsid w:val="665135D2"/>
    <w:rsid w:val="68045E62"/>
    <w:rsid w:val="6DBA75FF"/>
    <w:rsid w:val="6E372AE3"/>
    <w:rsid w:val="762A7B12"/>
    <w:rsid w:val="766C2B43"/>
    <w:rsid w:val="7A90060B"/>
    <w:rsid w:val="7A996B16"/>
    <w:rsid w:val="7E655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footer"/>
    <w:basedOn w:val="1"/>
    <w:link w:val="12"/>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5">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6">
    <w:name w:val="Normal (Web)"/>
    <w:basedOn w:val="1"/>
    <w:link w:val="13"/>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table" w:styleId="8">
    <w:name w:val="Table Grid"/>
    <w:basedOn w:val="7"/>
    <w:qFormat/>
    <w:uiPriority w:val="59"/>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Hyperlink"/>
    <w:basedOn w:val="9"/>
    <w:qFormat/>
    <w:uiPriority w:val="0"/>
    <w:rPr>
      <w:color w:val="0000FF"/>
      <w:u w:val="single"/>
    </w:rPr>
  </w:style>
  <w:style w:type="character" w:customStyle="1" w:styleId="11">
    <w:name w:val="页眉 Char"/>
    <w:basedOn w:val="9"/>
    <w:link w:val="4"/>
    <w:qFormat/>
    <w:uiPriority w:val="99"/>
    <w:rPr>
      <w:sz w:val="18"/>
      <w:szCs w:val="18"/>
    </w:rPr>
  </w:style>
  <w:style w:type="character" w:customStyle="1" w:styleId="12">
    <w:name w:val="页脚 Char"/>
    <w:basedOn w:val="9"/>
    <w:link w:val="3"/>
    <w:qFormat/>
    <w:uiPriority w:val="99"/>
    <w:rPr>
      <w:sz w:val="18"/>
      <w:szCs w:val="18"/>
    </w:rPr>
  </w:style>
  <w:style w:type="character" w:customStyle="1" w:styleId="13">
    <w:name w:val="普通(网站) Char"/>
    <w:link w:val="6"/>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3544</Words>
  <Characters>3769</Characters>
  <Lines>16</Lines>
  <Paragraphs>4</Paragraphs>
  <TotalTime>0</TotalTime>
  <ScaleCrop>false</ScaleCrop>
  <LinksUpToDate>false</LinksUpToDate>
  <CharactersWithSpaces>3808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向日葵上的年糕</cp:lastModifiedBy>
  <dcterms:modified xsi:type="dcterms:W3CDTF">2024-09-09T02:18:57Z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D09981A40FFA4CB8B57943A509381593_12</vt:lpwstr>
  </property>
</Properties>
</file>