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 w14:paraId="6437F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5EDBE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p w14:paraId="5C79B530">
      <w:pPr>
        <w:pStyle w:val="2"/>
        <w:rPr>
          <w:rFonts w:hint="eastAsia"/>
          <w:lang w:eastAsia="zh-CN"/>
        </w:rPr>
      </w:pPr>
    </w:p>
    <w:tbl>
      <w:tblPr>
        <w:tblStyle w:val="10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25"/>
        <w:gridCol w:w="2445"/>
        <w:gridCol w:w="3045"/>
        <w:gridCol w:w="3990"/>
      </w:tblGrid>
      <w:tr w14:paraId="1DF5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C7F8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color w:val="auto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2445" w:type="dxa"/>
            <w:vAlign w:val="center"/>
          </w:tcPr>
          <w:p w14:paraId="5CBE3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3045" w:type="dxa"/>
            <w:vAlign w:val="center"/>
          </w:tcPr>
          <w:p w14:paraId="4C660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 w14:paraId="266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5C3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25" w:type="dxa"/>
            <w:vAlign w:val="center"/>
          </w:tcPr>
          <w:p w14:paraId="4AA55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口腔科牙科正压压膜机、蒸馏水机采购项目</w:t>
            </w:r>
          </w:p>
        </w:tc>
        <w:tc>
          <w:tcPr>
            <w:tcW w:w="2445" w:type="dxa"/>
            <w:vAlign w:val="center"/>
          </w:tcPr>
          <w:p w14:paraId="02B0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045" w:type="dxa"/>
            <w:vAlign w:val="center"/>
          </w:tcPr>
          <w:p w14:paraId="2FE66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34F03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仅有1家投标商响应，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不足3家，作废标处理（第二次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废标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。</w:t>
            </w:r>
          </w:p>
        </w:tc>
      </w:tr>
      <w:tr w14:paraId="2FFA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5D4F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325" w:type="dxa"/>
            <w:vAlign w:val="center"/>
          </w:tcPr>
          <w:p w14:paraId="7EE3F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外二科钬激光维保技术服务采购项目</w:t>
            </w:r>
          </w:p>
        </w:tc>
        <w:tc>
          <w:tcPr>
            <w:tcW w:w="2445" w:type="dxa"/>
            <w:vAlign w:val="center"/>
          </w:tcPr>
          <w:p w14:paraId="48F10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云南自由贸易试验区光束科技有限公司</w:t>
            </w:r>
          </w:p>
        </w:tc>
        <w:tc>
          <w:tcPr>
            <w:tcW w:w="3045" w:type="dxa"/>
            <w:vAlign w:val="center"/>
          </w:tcPr>
          <w:p w14:paraId="15647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42000元</w:t>
            </w:r>
          </w:p>
        </w:tc>
        <w:tc>
          <w:tcPr>
            <w:tcW w:w="3990" w:type="dxa"/>
            <w:vAlign w:val="center"/>
          </w:tcPr>
          <w:p w14:paraId="3E822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维保期限：1年，自合同签订之日起计算。</w:t>
            </w:r>
          </w:p>
          <w:p w14:paraId="14C6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维保方式：全保</w:t>
            </w:r>
          </w:p>
        </w:tc>
      </w:tr>
      <w:tr w14:paraId="57A0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35BA1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325" w:type="dxa"/>
            <w:vAlign w:val="center"/>
          </w:tcPr>
          <w:p w14:paraId="4B0FB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门诊收费室移动结算车维修项目</w:t>
            </w:r>
          </w:p>
        </w:tc>
        <w:tc>
          <w:tcPr>
            <w:tcW w:w="2445" w:type="dxa"/>
            <w:vAlign w:val="center"/>
          </w:tcPr>
          <w:p w14:paraId="2A434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045" w:type="dxa"/>
            <w:vAlign w:val="center"/>
          </w:tcPr>
          <w:p w14:paraId="63C8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2F28D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无投标商响应，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作废标处理（第二次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废标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。</w:t>
            </w:r>
          </w:p>
        </w:tc>
      </w:tr>
      <w:tr w14:paraId="08D2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668D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4325" w:type="dxa"/>
            <w:vAlign w:val="center"/>
          </w:tcPr>
          <w:p w14:paraId="24624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财务部防盗门项目</w:t>
            </w:r>
          </w:p>
        </w:tc>
        <w:tc>
          <w:tcPr>
            <w:tcW w:w="2445" w:type="dxa"/>
            <w:vAlign w:val="center"/>
          </w:tcPr>
          <w:p w14:paraId="70512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045" w:type="dxa"/>
            <w:vAlign w:val="center"/>
          </w:tcPr>
          <w:p w14:paraId="6D0E6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990" w:type="dxa"/>
            <w:vAlign w:val="center"/>
          </w:tcPr>
          <w:p w14:paraId="5A23E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无投标商响应，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作废标处理（第一次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废标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。</w:t>
            </w:r>
          </w:p>
        </w:tc>
      </w:tr>
      <w:tr w14:paraId="72A33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7A7F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4325" w:type="dxa"/>
            <w:vAlign w:val="center"/>
          </w:tcPr>
          <w:p w14:paraId="45402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层流净化机组巡检服务项目</w:t>
            </w:r>
          </w:p>
        </w:tc>
        <w:tc>
          <w:tcPr>
            <w:tcW w:w="2445" w:type="dxa"/>
            <w:vAlign w:val="center"/>
          </w:tcPr>
          <w:p w14:paraId="23684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云南拓鑫电气工程有限公司</w:t>
            </w:r>
          </w:p>
        </w:tc>
        <w:tc>
          <w:tcPr>
            <w:tcW w:w="3045" w:type="dxa"/>
            <w:vAlign w:val="center"/>
          </w:tcPr>
          <w:p w14:paraId="3C442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34500元</w:t>
            </w:r>
          </w:p>
        </w:tc>
        <w:tc>
          <w:tcPr>
            <w:tcW w:w="3990" w:type="dxa"/>
            <w:vAlign w:val="center"/>
          </w:tcPr>
          <w:p w14:paraId="2C1FC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服务期限3年，自合同签订之日起计算。</w:t>
            </w:r>
          </w:p>
        </w:tc>
      </w:tr>
      <w:tr w14:paraId="5C2A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0236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4325" w:type="dxa"/>
            <w:vAlign w:val="center"/>
          </w:tcPr>
          <w:p w14:paraId="7A110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搬运服务固定服务商项目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sz w:val="21"/>
                <w:szCs w:val="21"/>
                <w:lang w:eastAsia="zh-CN"/>
              </w:rPr>
              <w:t>（邀请议价）</w:t>
            </w:r>
          </w:p>
        </w:tc>
        <w:tc>
          <w:tcPr>
            <w:tcW w:w="2445" w:type="dxa"/>
            <w:vAlign w:val="center"/>
          </w:tcPr>
          <w:p w14:paraId="6951A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昆明信诚搬家清洗有限责任公司</w:t>
            </w:r>
          </w:p>
        </w:tc>
        <w:tc>
          <w:tcPr>
            <w:tcW w:w="3045" w:type="dxa"/>
            <w:vAlign w:val="center"/>
          </w:tcPr>
          <w:p w14:paraId="56F00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以中标商报价函（单价）为准，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按实际产生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搬运服务量结算，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总金额控制在3万元以内。</w:t>
            </w:r>
          </w:p>
        </w:tc>
        <w:tc>
          <w:tcPr>
            <w:tcW w:w="3990" w:type="dxa"/>
            <w:shd w:val="clear"/>
            <w:vAlign w:val="center"/>
          </w:tcPr>
          <w:p w14:paraId="15F7712B">
            <w:pPr>
              <w:pStyle w:val="2"/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服务期限：1年，自合同签订之日起计算。</w:t>
            </w:r>
          </w:p>
        </w:tc>
      </w:tr>
      <w:tr w14:paraId="04DA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8372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4325" w:type="dxa"/>
            <w:vAlign w:val="center"/>
          </w:tcPr>
          <w:p w14:paraId="5A867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</w:rPr>
              <w:t>西山区中医院二次加压生活水池维修及配电房渗水维修项目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sz w:val="21"/>
                <w:szCs w:val="21"/>
                <w:lang w:eastAsia="zh-CN"/>
              </w:rPr>
              <w:t>（邀请议价）</w:t>
            </w:r>
          </w:p>
        </w:tc>
        <w:tc>
          <w:tcPr>
            <w:tcW w:w="2445" w:type="dxa"/>
            <w:vAlign w:val="center"/>
          </w:tcPr>
          <w:p w14:paraId="45E3F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昆明盛南辉建筑装饰有限责任公司</w:t>
            </w:r>
          </w:p>
        </w:tc>
        <w:tc>
          <w:tcPr>
            <w:tcW w:w="3045" w:type="dxa"/>
            <w:vAlign w:val="center"/>
          </w:tcPr>
          <w:p w14:paraId="5C22D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34900元</w:t>
            </w:r>
          </w:p>
        </w:tc>
        <w:tc>
          <w:tcPr>
            <w:tcW w:w="3990" w:type="dxa"/>
            <w:vAlign w:val="center"/>
          </w:tcPr>
          <w:p w14:paraId="45325ADE">
            <w:pPr>
              <w:pStyle w:val="2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 w14:paraId="7ED0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0B390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4325" w:type="dxa"/>
            <w:vAlign w:val="center"/>
          </w:tcPr>
          <w:p w14:paraId="06B31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  <w:t>电动门及正、负压系统固定维修服务项目</w:t>
            </w:r>
          </w:p>
          <w:p w14:paraId="3C9BA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sz w:val="21"/>
                <w:szCs w:val="21"/>
                <w:lang w:eastAsia="zh-CN"/>
              </w:rPr>
              <w:t>（第二轮评标）</w:t>
            </w:r>
          </w:p>
        </w:tc>
        <w:tc>
          <w:tcPr>
            <w:tcW w:w="2445" w:type="dxa"/>
            <w:vAlign w:val="center"/>
          </w:tcPr>
          <w:p w14:paraId="2762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云南拓鑫电气工程有限公司</w:t>
            </w:r>
          </w:p>
        </w:tc>
        <w:tc>
          <w:tcPr>
            <w:tcW w:w="3045" w:type="dxa"/>
            <w:vAlign w:val="center"/>
          </w:tcPr>
          <w:p w14:paraId="1E987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以中标商报价函（单价）为准，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按实际产生维修量结算，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w w:val="100"/>
                <w:sz w:val="21"/>
                <w:szCs w:val="21"/>
                <w:lang w:val="en-US" w:eastAsia="zh-CN"/>
              </w:rPr>
              <w:t>总金额控制在5万元以内。</w:t>
            </w:r>
          </w:p>
        </w:tc>
        <w:tc>
          <w:tcPr>
            <w:tcW w:w="3990" w:type="dxa"/>
            <w:vAlign w:val="center"/>
          </w:tcPr>
          <w:p w14:paraId="677F2D0A">
            <w:pPr>
              <w:pStyle w:val="2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服务期限：1年，自合同签订之日起计算。</w:t>
            </w:r>
          </w:p>
        </w:tc>
      </w:tr>
    </w:tbl>
    <w:p w14:paraId="69D67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0925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1个工作日（2024年11月13日）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 w14:paraId="191A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 w14:paraId="09FF5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 w14:paraId="40393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0C7B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 w14:paraId="2FC20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 w14:paraId="64D2A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uiPriority w:val="0"/>
  </w:style>
  <w:style w:type="character" w:customStyle="1" w:styleId="120">
    <w:name w:val="online-per"/>
    <w:basedOn w:val="11"/>
    <w:uiPriority w:val="0"/>
    <w:rPr>
      <w:color w:val="55AAA3"/>
    </w:rPr>
  </w:style>
  <w:style w:type="character" w:customStyle="1" w:styleId="121">
    <w:name w:val="online-per1"/>
    <w:basedOn w:val="11"/>
    <w:uiPriority w:val="0"/>
    <w:rPr>
      <w:color w:val="4799E7"/>
    </w:rPr>
  </w:style>
  <w:style w:type="character" w:customStyle="1" w:styleId="122">
    <w:name w:val="online-per2"/>
    <w:basedOn w:val="11"/>
    <w:uiPriority w:val="0"/>
    <w:rPr>
      <w:color w:val="BA2E2E"/>
    </w:rPr>
  </w:style>
  <w:style w:type="character" w:customStyle="1" w:styleId="123">
    <w:name w:val="online-per3"/>
    <w:basedOn w:val="11"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uiPriority w:val="0"/>
    <w:rPr>
      <w:color w:val="ED6D00"/>
    </w:rPr>
  </w:style>
  <w:style w:type="character" w:customStyle="1" w:styleId="135">
    <w:name w:val="q-meta-author"/>
    <w:basedOn w:val="11"/>
    <w:uiPriority w:val="0"/>
    <w:rPr>
      <w:color w:val="55AAA3"/>
    </w:rPr>
  </w:style>
  <w:style w:type="character" w:customStyle="1" w:styleId="136">
    <w:name w:val="q-meta-author1"/>
    <w:basedOn w:val="11"/>
    <w:uiPriority w:val="0"/>
    <w:rPr>
      <w:color w:val="4799E7"/>
    </w:rPr>
  </w:style>
  <w:style w:type="character" w:customStyle="1" w:styleId="137">
    <w:name w:val="q-meta-author2"/>
    <w:basedOn w:val="11"/>
    <w:uiPriority w:val="0"/>
    <w:rPr>
      <w:color w:val="BA2E2E"/>
    </w:rPr>
  </w:style>
  <w:style w:type="character" w:customStyle="1" w:styleId="138">
    <w:name w:val="q-meta-author3"/>
    <w:basedOn w:val="11"/>
    <w:uiPriority w:val="0"/>
    <w:rPr>
      <w:color w:val="393D49"/>
    </w:rPr>
  </w:style>
  <w:style w:type="character" w:customStyle="1" w:styleId="139">
    <w:name w:val="q-meta-author4"/>
    <w:basedOn w:val="11"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uiPriority w:val="0"/>
  </w:style>
  <w:style w:type="character" w:customStyle="1" w:styleId="156">
    <w:name w:val="on10"/>
    <w:basedOn w:val="11"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485</Words>
  <Characters>537</Characters>
  <Lines>3</Lines>
  <Paragraphs>1</Paragraphs>
  <TotalTime>1</TotalTime>
  <ScaleCrop>false</ScaleCrop>
  <LinksUpToDate>false</LinksUpToDate>
  <CharactersWithSpaces>538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2024-11-11T05:58:05Z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CCE9A788BE944DA9BB168310DAEB9043_12</vt:lpwstr>
  </property>
</Properties>
</file>