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65"/>
        <w:gridCol w:w="2940"/>
        <w:gridCol w:w="1575"/>
        <w:gridCol w:w="5625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66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2940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1575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5625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66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中医适宜技术推广所需音箱及配套设备</w:t>
            </w:r>
          </w:p>
        </w:tc>
        <w:tc>
          <w:tcPr>
            <w:tcW w:w="2940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云南伽蓝科技有限公司</w:t>
            </w:r>
          </w:p>
        </w:tc>
        <w:tc>
          <w:tcPr>
            <w:tcW w:w="1575" w:type="dxa"/>
            <w:vAlign w:val="center"/>
          </w:tcPr>
          <w:p w14:paraId="1CF1AB5E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4750元</w:t>
            </w:r>
          </w:p>
        </w:tc>
        <w:tc>
          <w:tcPr>
            <w:tcW w:w="5625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4EFA9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BC025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665" w:type="dxa"/>
            <w:vAlign w:val="center"/>
          </w:tcPr>
          <w:p w14:paraId="51608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搬运服务</w:t>
            </w:r>
          </w:p>
        </w:tc>
        <w:tc>
          <w:tcPr>
            <w:tcW w:w="2940" w:type="dxa"/>
            <w:shd w:val="clear"/>
            <w:vAlign w:val="center"/>
          </w:tcPr>
          <w:p w14:paraId="638C2FC2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575" w:type="dxa"/>
            <w:shd w:val="clear"/>
            <w:vAlign w:val="center"/>
          </w:tcPr>
          <w:p w14:paraId="0636D985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5625" w:type="dxa"/>
            <w:shd w:val="clear"/>
            <w:vAlign w:val="center"/>
          </w:tcPr>
          <w:p w14:paraId="23C876D2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初审通过1家，未通过4家，不满足开标条件，作废标处理。（第二次废标）</w:t>
            </w:r>
          </w:p>
        </w:tc>
      </w:tr>
      <w:tr w14:paraId="2C98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10436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665" w:type="dxa"/>
            <w:vAlign w:val="center"/>
          </w:tcPr>
          <w:p w14:paraId="7F86D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软水盐供应服务</w:t>
            </w:r>
          </w:p>
        </w:tc>
        <w:tc>
          <w:tcPr>
            <w:tcW w:w="2940" w:type="dxa"/>
            <w:shd w:val="clear"/>
            <w:vAlign w:val="center"/>
          </w:tcPr>
          <w:p w14:paraId="1D11DCCD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575" w:type="dxa"/>
            <w:shd w:val="clear"/>
            <w:vAlign w:val="center"/>
          </w:tcPr>
          <w:p w14:paraId="008642BC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5625" w:type="dxa"/>
            <w:shd w:val="clear"/>
            <w:vAlign w:val="center"/>
          </w:tcPr>
          <w:p w14:paraId="55137029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初审通过2家，未通过1家，不满足开标条件，作废标处理。（第二次废标）</w:t>
            </w:r>
          </w:p>
        </w:tc>
      </w:tr>
      <w:tr w14:paraId="0EA8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22E4FF3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665" w:type="dxa"/>
            <w:vAlign w:val="center"/>
          </w:tcPr>
          <w:p w14:paraId="50FE5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电动门及正、负压系统固定维修服务</w:t>
            </w:r>
          </w:p>
        </w:tc>
        <w:tc>
          <w:tcPr>
            <w:tcW w:w="2940" w:type="dxa"/>
            <w:vAlign w:val="center"/>
          </w:tcPr>
          <w:p w14:paraId="0A354048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云南拓鑫电气工程有限公司</w:t>
            </w:r>
          </w:p>
        </w:tc>
        <w:tc>
          <w:tcPr>
            <w:tcW w:w="1575" w:type="dxa"/>
            <w:vAlign w:val="center"/>
          </w:tcPr>
          <w:p w14:paraId="38B4AF51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625" w:type="dxa"/>
            <w:vAlign w:val="center"/>
          </w:tcPr>
          <w:p w14:paraId="6917BC5A">
            <w:pPr>
              <w:numPr>
                <w:numId w:val="0"/>
              </w:num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（1）服务期限1年，自签订之日起计算。</w:t>
            </w:r>
          </w:p>
          <w:p w14:paraId="7D3D25F2">
            <w:pPr>
              <w:numPr>
                <w:numId w:val="0"/>
              </w:num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（2）常用配件以中标商报价表为准，按实际情况结算，总费用控制在45000元内。</w:t>
            </w:r>
          </w:p>
        </w:tc>
      </w:tr>
    </w:tbl>
    <w:p w14:paraId="608C78A8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1个工作日（202</w:t>
      </w:r>
      <w:r>
        <w:rPr>
          <w:rFonts w:ascii="仿宋_GB2312" w:hAnsi="仿宋_GB2312" w:eastAsia="仿宋_GB2312" w:cs="仿宋_GB2312"/>
          <w:b/>
          <w:bCs/>
        </w:rPr>
        <w:t>5</w:t>
      </w:r>
      <w:r>
        <w:rPr>
          <w:rFonts w:hint="eastAsia" w:ascii="仿宋_GB2312" w:hAnsi="仿宋_GB2312" w:eastAsia="仿宋_GB2312" w:cs="仿宋_GB2312"/>
          <w:b/>
          <w:bCs/>
        </w:rPr>
        <w:t>年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bCs/>
        </w:rPr>
        <w:t>月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</w:rPr>
        <w:t>日）</w:t>
      </w:r>
      <w:r>
        <w:rPr>
          <w:rFonts w:hint="eastAsia" w:ascii="仿宋_GB2312" w:hAnsi="仿宋_GB2312" w:eastAsia="仿宋_GB2312" w:cs="仿宋_GB2312"/>
        </w:rPr>
        <w:t>，若</w:t>
      </w:r>
      <w:r>
        <w:rPr>
          <w:rFonts w:hint="eastAsia" w:ascii="仿宋_GB2312" w:hAnsi="仿宋_GB2312" w:eastAsia="仿宋_GB2312" w:cs="仿宋_GB2312"/>
          <w:bCs/>
        </w:rPr>
        <w:t>有异议，请在公</w:t>
      </w:r>
      <w:r>
        <w:rPr>
          <w:rFonts w:hint="eastAsia" w:ascii="仿宋_GB2312" w:hAnsi="仿宋_GB2312" w:eastAsia="仿宋_GB2312" w:cs="仿宋_GB2312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3BF4B96"/>
    <w:rsid w:val="2DC71DA7"/>
    <w:rsid w:val="38056EE1"/>
    <w:rsid w:val="4735515C"/>
    <w:rsid w:val="4889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439</Words>
  <Characters>499</Characters>
  <Lines>2</Lines>
  <Paragraphs>1</Paragraphs>
  <TotalTime>4</TotalTime>
  <ScaleCrop>false</ScaleCrop>
  <LinksUpToDate>false</LinksUpToDate>
  <CharactersWithSpaces>500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2025-12-05T07:10:42Z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