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49FB7">
      <w:pPr>
        <w:spacing w:line="560" w:lineRule="exact"/>
        <w:jc w:val="center"/>
        <w:rPr>
          <w:rFonts w:ascii="方正小标宋简体" w:hAnsi="方正小标宋简体" w:eastAsia="方正小标宋简体" w:cs="方正小标宋简体"/>
          <w:b/>
          <w:bCs/>
          <w:color w:val="000000"/>
          <w:spacing w:val="14"/>
          <w:sz w:val="44"/>
          <w:szCs w:val="44"/>
        </w:rPr>
      </w:pPr>
      <w:r>
        <w:rPr>
          <w:rFonts w:hint="eastAsia" w:ascii="方正小标宋简体" w:hAnsi="方正小标宋简体" w:eastAsia="方正小标宋简体" w:cs="方正小标宋简体"/>
          <w:b/>
          <w:bCs/>
          <w:color w:val="000000"/>
          <w:spacing w:val="14"/>
          <w:sz w:val="44"/>
          <w:szCs w:val="44"/>
        </w:rPr>
        <w:t>招标公告-1（投标人资料初审）</w:t>
      </w:r>
    </w:p>
    <w:p w14:paraId="4653A588">
      <w:pPr>
        <w:pStyle w:val="5"/>
        <w:spacing w:line="560" w:lineRule="exact"/>
        <w:ind w:right="0" w:rightChars="0"/>
        <w:rPr>
          <w:rFonts w:ascii="仿宋_GB2312" w:hAnsi="仿宋_GB2312" w:eastAsia="仿宋_GB2312" w:cs="仿宋_GB2312"/>
          <w:b w:val="0"/>
          <w:bCs/>
          <w:color w:val="000000"/>
          <w:sz w:val="32"/>
        </w:rPr>
      </w:pPr>
    </w:p>
    <w:p w14:paraId="5095A8B1">
      <w:pPr>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一、采购项目概况</w:t>
      </w:r>
    </w:p>
    <w:p w14:paraId="5ACF3085">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480C1205">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采购项目：危险废物（污泥、甲醛二甲苯）运输转运处置备案及相关检测服务</w:t>
      </w:r>
    </w:p>
    <w:p w14:paraId="10FFE09E">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预算金额：</w:t>
      </w:r>
      <w:r>
        <w:rPr>
          <w:rFonts w:hint="eastAsia" w:ascii="仿宋_GB2312" w:hAnsi="仿宋_GB2312" w:eastAsia="仿宋_GB2312" w:cs="仿宋_GB2312"/>
          <w:b w:val="0"/>
          <w:bCs/>
          <w:color w:val="000000"/>
          <w:sz w:val="32"/>
          <w:shd w:val="clear" w:color="auto" w:fill="FFFFFF"/>
        </w:rPr>
        <w:t>1.8万元</w:t>
      </w:r>
      <w:r>
        <w:rPr>
          <w:rFonts w:ascii="仿宋_GB2312" w:hAnsi="仿宋_GB2312" w:eastAsia="仿宋_GB2312" w:cs="仿宋_GB2312"/>
          <w:b w:val="0"/>
          <w:bCs/>
          <w:color w:val="000000"/>
          <w:sz w:val="32"/>
        </w:rPr>
        <w:t xml:space="preserve"> </w:t>
      </w:r>
    </w:p>
    <w:p w14:paraId="3BA6AEBC">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服务期限：</w:t>
      </w:r>
      <w:r>
        <w:rPr>
          <w:rFonts w:hint="eastAsia" w:ascii="仿宋_GB2312" w:hAnsi="仿宋_GB2312" w:eastAsia="仿宋_GB2312" w:cs="仿宋_GB2312"/>
          <w:bCs/>
          <w:color w:val="000000"/>
          <w:sz w:val="32"/>
        </w:rPr>
        <w:t>1年</w:t>
      </w:r>
      <w:r>
        <w:rPr>
          <w:rFonts w:ascii="仿宋_GB2312" w:hAnsi="仿宋_GB2312" w:eastAsia="仿宋_GB2312" w:cs="仿宋_GB2312"/>
          <w:bCs/>
          <w:sz w:val="32"/>
          <w:szCs w:val="32"/>
        </w:rPr>
        <w:t xml:space="preserve"> </w:t>
      </w:r>
    </w:p>
    <w:p w14:paraId="17E83AE5">
      <w:pPr>
        <w:pStyle w:val="5"/>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二、投标人资料文件初审阶段</w:t>
      </w:r>
    </w:p>
    <w:p w14:paraId="4FFC0F64">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有意向的投标人，请按照以下要求提交相应资料，全部资料须加盖公司鲜章，初审资料无需密封。</w:t>
      </w:r>
    </w:p>
    <w:p w14:paraId="5B204BF8">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1.投递时间：2026年4月</w:t>
      </w:r>
      <w:r>
        <w:rPr>
          <w:rFonts w:hint="eastAsia" w:ascii="仿宋_GB2312" w:hAnsi="仿宋_GB2312" w:eastAsia="仿宋_GB2312" w:cs="仿宋_GB2312"/>
          <w:b w:val="0"/>
          <w:bCs/>
          <w:color w:val="000000"/>
          <w:sz w:val="32"/>
          <w:lang w:val="en-US" w:eastAsia="zh-CN"/>
        </w:rPr>
        <w:t>9</w:t>
      </w:r>
      <w:r>
        <w:rPr>
          <w:rFonts w:hint="eastAsia" w:ascii="仿宋_GB2312" w:hAnsi="仿宋_GB2312" w:eastAsia="仿宋_GB2312" w:cs="仿宋_GB2312"/>
          <w:b w:val="0"/>
          <w:bCs/>
          <w:color w:val="000000"/>
          <w:sz w:val="32"/>
        </w:rPr>
        <w:t>日上午8:30-10:00。</w:t>
      </w:r>
    </w:p>
    <w:p w14:paraId="34B6CCA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2.投递地点：昆明市西山区人民医院4楼4031室（党政综合办公室）。</w:t>
      </w:r>
    </w:p>
    <w:p w14:paraId="5879B097">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3.资料明细</w:t>
      </w:r>
    </w:p>
    <w:p w14:paraId="7D4A8530">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（1）具有独立承担民事责任的能力，须提供法人或者其他组织的营业执照等证明文件，自然人的身份证明。营业范围需具备该采购项目的相关条件和要求。</w:t>
      </w:r>
    </w:p>
    <w:p w14:paraId="7AAF0CD0">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提示：提供营业执照复印件</w:t>
      </w:r>
    </w:p>
    <w:p w14:paraId="1717D0C0">
      <w:pPr>
        <w:spacing w:line="560" w:lineRule="exact"/>
        <w:ind w:firstLine="640"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（2）法人代表授权委托书原件、法人代表及受托人身份证复印件；法人代表本人到场的，提供法人代表身份证复印件。</w:t>
      </w:r>
    </w:p>
    <w:p w14:paraId="2D3D5A2F">
      <w:pPr>
        <w:spacing w:line="560" w:lineRule="exact"/>
        <w:ind w:firstLine="640" w:firstLineChars="200"/>
        <w:rPr>
          <w:color w:val="000000"/>
          <w:sz w:val="32"/>
          <w:szCs w:val="32"/>
        </w:rPr>
      </w:pPr>
      <w:r>
        <w:rPr>
          <w:rFonts w:hint="eastAsia" w:ascii="仿宋_GB2312" w:hAnsi="仿宋_GB2312" w:eastAsia="仿宋_GB2312" w:cs="仿宋_GB2312"/>
          <w:color w:val="000000"/>
          <w:sz w:val="32"/>
          <w:szCs w:val="32"/>
        </w:rPr>
        <w:t>（3）投标人未被列入“信用中国”网站失信被执行人、重大税收违法失信主体名单及中国政府采购网“政府采购严重违法失信行为记录名单”。</w:t>
      </w:r>
    </w:p>
    <w:p w14:paraId="7E3A8D00">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信用中国网址：www.creditchina.gov.cn</w:t>
      </w:r>
    </w:p>
    <w:p w14:paraId="695D92D2">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中国政府采购网：www.ccgp.gov.cn</w:t>
      </w:r>
    </w:p>
    <w:p w14:paraId="7463B7DE">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提示：提供相关网站的截屏为准，查询时间为前一天。</w:t>
      </w:r>
    </w:p>
    <w:p w14:paraId="08F115C7">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2E443882">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提示：由投标人自行拟定书面承诺，内容需涵盖以上要求。</w:t>
      </w:r>
    </w:p>
    <w:p w14:paraId="337D9E97">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（5）投标人（受托人或法人代表）所在单位的社保缴纳凭证（本年度近3个月）；若参保单位为所在单位合作的第三方人力资源公司，请提供情况说明。</w:t>
      </w:r>
    </w:p>
    <w:p w14:paraId="09FF17A6">
      <w:pPr>
        <w:spacing w:line="560" w:lineRule="exact"/>
        <w:ind w:firstLine="640" w:firstLineChars="200"/>
        <w:rPr>
          <w:rFonts w:ascii="黑体" w:hAnsi="黑体" w:eastAsia="黑体" w:cs="黑体"/>
          <w:bCs/>
          <w:color w:val="000000"/>
          <w:sz w:val="32"/>
          <w:szCs w:val="32"/>
        </w:rPr>
      </w:pPr>
      <w:bookmarkStart w:id="0" w:name="_Hlk24379207"/>
      <w:bookmarkStart w:id="1" w:name="_Toc28359002"/>
      <w:bookmarkStart w:id="2" w:name="_Toc35393790"/>
      <w:bookmarkStart w:id="3" w:name="_Toc35393621"/>
      <w:bookmarkStart w:id="4" w:name="_Toc28359079"/>
      <w:r>
        <w:rPr>
          <w:rFonts w:hint="eastAsia" w:ascii="黑体" w:hAnsi="黑体" w:eastAsia="黑体" w:cs="黑体"/>
          <w:bCs/>
          <w:color w:val="000000"/>
          <w:sz w:val="32"/>
          <w:szCs w:val="32"/>
        </w:rPr>
        <w:t>三、通知递交标书</w:t>
      </w:r>
    </w:p>
    <w:p w14:paraId="616652EA">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根据当天审核情况，若满足开标条件的，由工作小组电话联系合格的投标人次日递交标书。</w:t>
      </w:r>
    </w:p>
    <w:p w14:paraId="2EB575D2">
      <w:pPr>
        <w:spacing w:line="560" w:lineRule="exact"/>
        <w:ind w:firstLine="643" w:firstLineChars="200"/>
        <w:rPr>
          <w:rFonts w:ascii="仿宋_GB2312" w:hAnsi="仿宋_GB2312" w:eastAsia="仿宋_GB2312" w:cs="仿宋_GB2312"/>
          <w:b/>
          <w:color w:val="000000"/>
          <w:sz w:val="32"/>
          <w:szCs w:val="32"/>
        </w:rPr>
      </w:pPr>
    </w:p>
    <w:p w14:paraId="56BCA2EF">
      <w:pPr>
        <w:spacing w:line="560" w:lineRule="exact"/>
        <w:jc w:val="left"/>
        <w:rPr>
          <w:rFonts w:ascii="黑体" w:hAnsi="黑体" w:eastAsia="黑体"/>
          <w:color w:val="000000"/>
          <w:sz w:val="30"/>
          <w:szCs w:val="30"/>
        </w:rPr>
      </w:pPr>
    </w:p>
    <w:p w14:paraId="431881C8">
      <w:pPr>
        <w:spacing w:line="560" w:lineRule="exact"/>
        <w:jc w:val="left"/>
        <w:rPr>
          <w:rFonts w:ascii="仿宋_GB2312" w:hAnsi="仿宋_GB2312" w:eastAsia="仿宋_GB2312" w:cs="仿宋_GB2312"/>
          <w:color w:val="000000"/>
          <w:sz w:val="32"/>
          <w:szCs w:val="32"/>
        </w:rPr>
      </w:pPr>
    </w:p>
    <w:p w14:paraId="33747F7E">
      <w:pPr>
        <w:spacing w:line="560" w:lineRule="exact"/>
        <w:jc w:val="left"/>
        <w:rPr>
          <w:rFonts w:ascii="仿宋_GB2312" w:hAnsi="仿宋_GB2312" w:eastAsia="仿宋_GB2312" w:cs="仿宋_GB2312"/>
          <w:color w:val="000000"/>
          <w:sz w:val="32"/>
          <w:szCs w:val="32"/>
        </w:rPr>
      </w:pPr>
    </w:p>
    <w:p w14:paraId="53B27AA1">
      <w:pPr>
        <w:spacing w:line="560" w:lineRule="exact"/>
        <w:jc w:val="left"/>
        <w:rPr>
          <w:rFonts w:ascii="仿宋_GB2312" w:hAnsi="仿宋_GB2312" w:eastAsia="仿宋_GB2312" w:cs="仿宋_GB2312"/>
          <w:color w:val="000000"/>
          <w:sz w:val="32"/>
          <w:szCs w:val="32"/>
        </w:rPr>
      </w:pPr>
    </w:p>
    <w:p w14:paraId="16015615">
      <w:pPr>
        <w:spacing w:line="560" w:lineRule="exact"/>
        <w:jc w:val="left"/>
        <w:rPr>
          <w:rFonts w:ascii="仿宋_GB2312" w:hAnsi="仿宋_GB2312" w:eastAsia="仿宋_GB2312" w:cs="仿宋_GB2312"/>
          <w:color w:val="000000"/>
          <w:sz w:val="32"/>
          <w:szCs w:val="32"/>
        </w:rPr>
      </w:pPr>
    </w:p>
    <w:p w14:paraId="25CA9859">
      <w:pPr>
        <w:spacing w:line="560" w:lineRule="exact"/>
        <w:jc w:val="left"/>
        <w:rPr>
          <w:rFonts w:ascii="仿宋_GB2312" w:hAnsi="仿宋_GB2312" w:eastAsia="仿宋_GB2312" w:cs="仿宋_GB2312"/>
          <w:color w:val="000000"/>
          <w:sz w:val="32"/>
          <w:szCs w:val="32"/>
        </w:rPr>
      </w:pPr>
    </w:p>
    <w:p w14:paraId="0E614DC6">
      <w:pPr>
        <w:spacing w:line="560" w:lineRule="exact"/>
        <w:jc w:val="left"/>
        <w:rPr>
          <w:rFonts w:ascii="仿宋_GB2312" w:hAnsi="仿宋_GB2312" w:eastAsia="仿宋_GB2312" w:cs="仿宋_GB2312"/>
          <w:color w:val="000000"/>
          <w:sz w:val="32"/>
          <w:szCs w:val="32"/>
        </w:rPr>
      </w:pPr>
    </w:p>
    <w:p w14:paraId="4CC989FC">
      <w:pPr>
        <w:spacing w:line="560" w:lineRule="exact"/>
        <w:rPr>
          <w:rFonts w:ascii="方正小标宋简体" w:hAnsi="方正小标宋简体" w:eastAsia="方正小标宋简体" w:cs="方正小标宋简体"/>
          <w:b/>
          <w:bCs/>
          <w:color w:val="000000"/>
          <w:sz w:val="44"/>
          <w:szCs w:val="44"/>
        </w:rPr>
      </w:pPr>
    </w:p>
    <w:p w14:paraId="1CF38BDB">
      <w:pPr>
        <w:spacing w:line="560" w:lineRule="exact"/>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5CC322B0">
      <w:pPr>
        <w:spacing w:line="560" w:lineRule="exact"/>
        <w:ind w:firstLine="600" w:firstLineChars="200"/>
        <w:jc w:val="left"/>
        <w:rPr>
          <w:rFonts w:ascii="黑体" w:hAnsi="黑体" w:eastAsia="黑体"/>
          <w:color w:val="000000"/>
          <w:sz w:val="30"/>
          <w:szCs w:val="30"/>
        </w:rPr>
      </w:pPr>
    </w:p>
    <w:p w14:paraId="30192434">
      <w:pPr>
        <w:spacing w:line="560" w:lineRule="exact"/>
        <w:ind w:firstLine="640" w:firstLineChars="20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2652E704">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5E98DF89">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采购项目：危险废物（污泥、甲醛二甲苯）运输转运处置备案及相关检测服务</w:t>
      </w:r>
    </w:p>
    <w:p w14:paraId="19062F50">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预算金额：</w:t>
      </w:r>
      <w:r>
        <w:rPr>
          <w:rFonts w:hint="eastAsia" w:ascii="仿宋_GB2312" w:hAnsi="仿宋_GB2312" w:eastAsia="仿宋_GB2312" w:cs="仿宋_GB2312"/>
          <w:b w:val="0"/>
          <w:bCs/>
          <w:color w:val="000000"/>
          <w:sz w:val="32"/>
          <w:shd w:val="clear" w:color="auto" w:fill="FFFFFF"/>
        </w:rPr>
        <w:t>1.8万元</w:t>
      </w:r>
      <w:r>
        <w:rPr>
          <w:rFonts w:ascii="仿宋_GB2312" w:hAnsi="仿宋_GB2312" w:eastAsia="仿宋_GB2312" w:cs="仿宋_GB2312"/>
          <w:b w:val="0"/>
          <w:bCs/>
          <w:color w:val="000000"/>
          <w:sz w:val="32"/>
        </w:rPr>
        <w:t xml:space="preserve"> </w:t>
      </w:r>
    </w:p>
    <w:p w14:paraId="612B36DC">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服务期限：</w:t>
      </w:r>
      <w:r>
        <w:rPr>
          <w:rFonts w:hint="eastAsia" w:ascii="仿宋_GB2312" w:hAnsi="仿宋_GB2312" w:eastAsia="仿宋_GB2312" w:cs="仿宋_GB2312"/>
          <w:bCs/>
          <w:color w:val="000000"/>
          <w:sz w:val="32"/>
        </w:rPr>
        <w:t>1年</w:t>
      </w:r>
    </w:p>
    <w:p w14:paraId="25C37B41">
      <w:pPr>
        <w:spacing w:line="560" w:lineRule="exact"/>
        <w:ind w:firstLine="640" w:firstLineChars="200"/>
        <w:jc w:val="left"/>
        <w:rPr>
          <w:color w:val="000000"/>
        </w:rPr>
      </w:pPr>
      <w:r>
        <w:rPr>
          <w:rFonts w:hint="eastAsia" w:ascii="黑体" w:hAnsi="黑体" w:eastAsia="黑体" w:cs="黑体"/>
          <w:bCs/>
          <w:color w:val="000000"/>
          <w:sz w:val="32"/>
          <w:szCs w:val="32"/>
        </w:rPr>
        <w:t>二、采购项目需求</w:t>
      </w:r>
    </w:p>
    <w:p w14:paraId="7F8EEC4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投标人应具备相应的人员和设备，能够完成本项目，详见附件。</w:t>
      </w:r>
    </w:p>
    <w:p w14:paraId="10B0059D">
      <w:pPr>
        <w:spacing w:line="560" w:lineRule="exact"/>
        <w:ind w:firstLine="600"/>
        <w:jc w:val="left"/>
        <w:rPr>
          <w:rFonts w:ascii="黑体" w:hAnsi="黑体" w:eastAsia="黑体" w:cs="黑体"/>
          <w:color w:val="000000"/>
          <w:sz w:val="32"/>
          <w:szCs w:val="32"/>
        </w:rPr>
      </w:pPr>
      <w:r>
        <w:rPr>
          <w:rFonts w:hint="eastAsia" w:ascii="黑体" w:hAnsi="黑体" w:eastAsia="黑体" w:cs="黑体"/>
          <w:color w:val="000000"/>
          <w:sz w:val="32"/>
          <w:szCs w:val="32"/>
        </w:rPr>
        <w:t>三</w:t>
      </w:r>
      <w:r>
        <w:rPr>
          <w:rFonts w:ascii="黑体" w:hAnsi="黑体" w:eastAsia="黑体" w:cs="黑体"/>
          <w:color w:val="000000"/>
          <w:sz w:val="32"/>
          <w:szCs w:val="32"/>
        </w:rPr>
        <w:t>、</w:t>
      </w:r>
      <w:r>
        <w:rPr>
          <w:rFonts w:hint="eastAsia" w:ascii="黑体" w:hAnsi="黑体" w:eastAsia="黑体" w:cs="黑体"/>
          <w:color w:val="000000"/>
          <w:sz w:val="32"/>
          <w:szCs w:val="32"/>
        </w:rPr>
        <w:t>投递标书和开标要求</w:t>
      </w:r>
    </w:p>
    <w:p w14:paraId="121A14CD">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（一）投递标书</w:t>
      </w:r>
    </w:p>
    <w:p w14:paraId="45273D23">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w:t>
      </w:r>
      <w:r>
        <w:rPr>
          <w:rFonts w:hint="eastAsia" w:ascii="仿宋_GB2312" w:hAnsi="仿宋_GB2312" w:eastAsia="仿宋_GB2312" w:cs="仿宋_GB2312"/>
          <w:bCs/>
          <w:color w:val="000000"/>
          <w:sz w:val="32"/>
          <w:szCs w:val="32"/>
        </w:rPr>
        <w:t>2026年4月</w:t>
      </w:r>
      <w:r>
        <w:rPr>
          <w:rFonts w:hint="eastAsia" w:ascii="仿宋_GB2312" w:hAnsi="仿宋_GB2312" w:eastAsia="仿宋_GB2312" w:cs="仿宋_GB2312"/>
          <w:bCs/>
          <w:color w:val="000000"/>
          <w:sz w:val="32"/>
          <w:szCs w:val="32"/>
          <w:lang w:val="en-US" w:eastAsia="zh-CN"/>
        </w:rPr>
        <w:t>10</w:t>
      </w:r>
      <w:r>
        <w:rPr>
          <w:rFonts w:hint="eastAsia" w:ascii="仿宋_GB2312" w:hAnsi="仿宋_GB2312" w:eastAsia="仿宋_GB2312" w:cs="仿宋_GB2312"/>
          <w:bCs/>
          <w:color w:val="000000"/>
          <w:sz w:val="32"/>
          <w:szCs w:val="32"/>
        </w:rPr>
        <w:t>日上午</w:t>
      </w:r>
      <w:r>
        <w:rPr>
          <w:rFonts w:hint="eastAsia" w:ascii="仿宋_GB2312" w:eastAsia="仿宋_GB2312"/>
          <w:color w:val="000000"/>
          <w:sz w:val="32"/>
          <w:szCs w:val="32"/>
        </w:rPr>
        <w:t>8:30-9:50。</w:t>
      </w:r>
    </w:p>
    <w:p w14:paraId="6D792CA1">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地点：昆明市西山区人民医院4</w:t>
      </w:r>
      <w:r>
        <w:rPr>
          <w:rFonts w:hint="eastAsia" w:ascii="仿宋_GB2312" w:hAnsi="仿宋_GB2312" w:eastAsia="仿宋_GB2312" w:cs="仿宋_GB2312"/>
          <w:color w:val="000000"/>
          <w:sz w:val="30"/>
          <w:szCs w:val="30"/>
        </w:rPr>
        <w:t>楼4031室（党政综合办公室）。</w:t>
      </w:r>
    </w:p>
    <w:p w14:paraId="31590551">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备注：投递方式为现场投递，标书须密封完好，封面信息齐全，标书1份（原件）。</w:t>
      </w:r>
    </w:p>
    <w:p w14:paraId="0E2DAD9A">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（二）开标评标</w:t>
      </w:r>
    </w:p>
    <w:p w14:paraId="19270CC0">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时间：2026年4月</w:t>
      </w: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日上午10:00。</w:t>
      </w:r>
    </w:p>
    <w:p w14:paraId="576993EB">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地点：昆明市西山区人民医院5楼多媒体教室。</w:t>
      </w:r>
    </w:p>
    <w:p w14:paraId="49BD178F">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备注：投标人须参与现场唱标。</w:t>
      </w:r>
    </w:p>
    <w:p w14:paraId="00ABFCF1">
      <w:pPr>
        <w:spacing w:line="560" w:lineRule="exact"/>
        <w:ind w:firstLine="640" w:firstLineChars="200"/>
        <w:rPr>
          <w:rFonts w:ascii="黑体" w:hAnsi="黑体" w:eastAsia="黑体" w:cs="黑体"/>
          <w:bCs/>
          <w:color w:val="000000"/>
          <w:sz w:val="32"/>
          <w:szCs w:val="32"/>
        </w:rPr>
      </w:pPr>
      <w:r>
        <w:rPr>
          <w:rFonts w:hint="eastAsia" w:ascii="黑体" w:hAnsi="黑体" w:eastAsia="黑体" w:cs="黑体"/>
          <w:bCs/>
          <w:color w:val="000000"/>
          <w:sz w:val="32"/>
          <w:szCs w:val="32"/>
        </w:rPr>
        <w:t>四、投标人资格要求</w:t>
      </w:r>
    </w:p>
    <w:p w14:paraId="58DDBB20">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（1）具有独立承担民事责任的能力，须提供法人或者其他组织的营业执照等证明文件，自然人的身份证明；</w:t>
      </w:r>
    </w:p>
    <w:p w14:paraId="51B5E7FF">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（2）具有良好的商业信誉和健全的财务制度(近2年包括资产负债表、利润表、现金流量表或者审计报告)；</w:t>
      </w:r>
    </w:p>
    <w:p w14:paraId="3AE64FAD">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（3）投标人有效的纳税的证明材料；</w:t>
      </w:r>
    </w:p>
    <w:p w14:paraId="1C4DA71D">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w:t>
      </w:r>
      <w:r>
        <w:rPr>
          <w:rFonts w:hint="eastAsia" w:ascii="仿宋_GB2312" w:hAnsi="仿宋_GB2312" w:eastAsia="仿宋_GB2312" w:cs="仿宋_GB2312"/>
          <w:color w:val="000000"/>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14F8B4F8">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（5）投标人须提供具有履行相应合同所必须的设备和专业技术能力的证明材料；</w:t>
      </w:r>
    </w:p>
    <w:p w14:paraId="2A97314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（6）投标人未被列入“信用中国”网站失信被执行人、重大税收违法失信主体名单及中国政府采购网“政府采购严重违法失信行为记录名单”。</w:t>
      </w:r>
      <w:bookmarkEnd w:id="0"/>
      <w:bookmarkEnd w:id="1"/>
      <w:bookmarkEnd w:id="2"/>
      <w:bookmarkEnd w:id="3"/>
      <w:bookmarkEnd w:id="4"/>
      <w:bookmarkStart w:id="5" w:name="_Toc35393795"/>
      <w:bookmarkStart w:id="6" w:name="_Toc35393626"/>
    </w:p>
    <w:p w14:paraId="75B8DFED">
      <w:pPr>
        <w:pStyle w:val="5"/>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五、采购方式、评标办法</w:t>
      </w:r>
    </w:p>
    <w:p w14:paraId="2CB2CBD4">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采购方式：院内比选。</w:t>
      </w:r>
    </w:p>
    <w:p w14:paraId="09CFFBE3">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评标方法：低价中标法。</w:t>
      </w:r>
    </w:p>
    <w:p w14:paraId="255E85EE">
      <w:pPr>
        <w:pStyle w:val="5"/>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六、招标公告、招标结果发布</w:t>
      </w:r>
      <w:bookmarkEnd w:id="5"/>
      <w:bookmarkEnd w:id="6"/>
      <w:bookmarkStart w:id="7" w:name="_Toc28359085"/>
      <w:bookmarkStart w:id="8" w:name="_Toc35393796"/>
      <w:bookmarkStart w:id="9" w:name="_Toc35393627"/>
      <w:bookmarkStart w:id="10" w:name="_Toc28359008"/>
    </w:p>
    <w:p w14:paraId="6B171932">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1.昆明市西山区人民医院官方网站；</w:t>
      </w:r>
    </w:p>
    <w:p w14:paraId="2EB0CC77">
      <w:pPr>
        <w:spacing w:line="560" w:lineRule="exact"/>
        <w:ind w:firstLine="420" w:firstLineChars="200"/>
        <w:rPr>
          <w:rStyle w:val="10"/>
          <w:rFonts w:ascii="仿宋_GB2312" w:hAnsi="仿宋_GB2312" w:eastAsia="仿宋_GB2312" w:cs="仿宋_GB2312"/>
          <w:color w:val="000000"/>
          <w:sz w:val="32"/>
          <w:szCs w:val="32"/>
        </w:rPr>
      </w:pPr>
      <w:r>
        <w:fldChar w:fldCharType="begin"/>
      </w:r>
      <w:r>
        <w:instrText xml:space="preserve"> HYPERLINK "https://www.xsqrmyy.net/" </w:instrText>
      </w:r>
      <w:r>
        <w:fldChar w:fldCharType="separate"/>
      </w:r>
      <w:r>
        <w:rPr>
          <w:rStyle w:val="9"/>
          <w:rFonts w:hint="eastAsia" w:ascii="仿宋_GB2312" w:hAnsi="仿宋_GB2312" w:eastAsia="仿宋_GB2312" w:cs="仿宋_GB2312"/>
          <w:color w:val="000000"/>
          <w:kern w:val="0"/>
          <w:sz w:val="32"/>
          <w:szCs w:val="32"/>
        </w:rPr>
        <w:t>https://www.xsqrmyy.net/</w:t>
      </w:r>
      <w:bookmarkEnd w:id="7"/>
      <w:bookmarkEnd w:id="8"/>
      <w:bookmarkEnd w:id="9"/>
      <w:bookmarkEnd w:id="10"/>
      <w:r>
        <w:rPr>
          <w:rStyle w:val="9"/>
          <w:rFonts w:hint="eastAsia" w:ascii="仿宋_GB2312" w:hAnsi="仿宋_GB2312" w:eastAsia="仿宋_GB2312" w:cs="仿宋_GB2312"/>
          <w:color w:val="000000"/>
          <w:kern w:val="0"/>
          <w:sz w:val="32"/>
          <w:szCs w:val="32"/>
        </w:rPr>
        <w:fldChar w:fldCharType="end"/>
      </w:r>
    </w:p>
    <w:p w14:paraId="1DCD59B8">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2.招标公告公示期：自发布之日起，3个工作日；</w:t>
      </w:r>
    </w:p>
    <w:p w14:paraId="1838FC09">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3.招标结果公示期：自发布之日起，1个工作日。</w:t>
      </w:r>
    </w:p>
    <w:p w14:paraId="44EEE9F3">
      <w:pPr>
        <w:pStyle w:val="5"/>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七、联系方式</w:t>
      </w:r>
    </w:p>
    <w:p w14:paraId="333AF2A2">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凡对本次采购项目提出询问的，请按以下方式联系。</w:t>
      </w:r>
    </w:p>
    <w:p w14:paraId="0D4C5038">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联系人：总务部 郭老师</w:t>
      </w:r>
    </w:p>
    <w:p w14:paraId="5E32B786">
      <w:pPr>
        <w:pStyle w:val="5"/>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联系电话：0871-68182745</w:t>
      </w:r>
    </w:p>
    <w:p w14:paraId="3DBB9A07">
      <w:pPr>
        <w:spacing w:line="560" w:lineRule="exact"/>
        <w:rPr>
          <w:rFonts w:ascii="仿宋_GB2312" w:hAnsi="仿宋_GB2312" w:eastAsia="仿宋_GB2312" w:cs="仿宋_GB2312"/>
          <w:bCs/>
          <w:color w:val="000000"/>
          <w:sz w:val="32"/>
          <w:szCs w:val="32"/>
        </w:rPr>
      </w:pPr>
    </w:p>
    <w:p w14:paraId="5AD62364">
      <w:pPr>
        <w:spacing w:line="560" w:lineRule="exact"/>
        <w:ind w:firstLine="4800" w:firstLineChars="1500"/>
        <w:rPr>
          <w:rFonts w:ascii="仿宋_GB2312" w:hAnsi="仿宋_GB2312" w:eastAsia="仿宋_GB2312" w:cs="仿宋_GB2312"/>
          <w:bCs/>
          <w:color w:val="000000"/>
          <w:sz w:val="32"/>
          <w:szCs w:val="32"/>
        </w:rPr>
      </w:pPr>
    </w:p>
    <w:p w14:paraId="48683582">
      <w:pPr>
        <w:spacing w:line="560" w:lineRule="exact"/>
        <w:ind w:firstLine="4800" w:firstLineChars="15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昆明市西山区人民医院</w:t>
      </w:r>
    </w:p>
    <w:p w14:paraId="3D7794A5">
      <w:pPr>
        <w:pStyle w:val="5"/>
        <w:spacing w:line="560" w:lineRule="exact"/>
        <w:ind w:right="0" w:rightChars="0" w:firstLine="5120" w:firstLineChars="16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2026年</w:t>
      </w:r>
      <w:r>
        <w:rPr>
          <w:rFonts w:hint="eastAsia" w:ascii="仿宋_GB2312" w:hAnsi="仿宋_GB2312" w:eastAsia="仿宋_GB2312" w:cs="仿宋_GB2312"/>
          <w:b w:val="0"/>
          <w:bCs/>
          <w:color w:val="000000"/>
          <w:sz w:val="32"/>
          <w:lang w:val="en-US" w:eastAsia="zh-CN"/>
        </w:rPr>
        <w:t>4</w:t>
      </w:r>
      <w:r>
        <w:rPr>
          <w:rFonts w:hint="eastAsia" w:ascii="仿宋_GB2312" w:hAnsi="仿宋_GB2312" w:eastAsia="仿宋_GB2312" w:cs="仿宋_GB2312"/>
          <w:b w:val="0"/>
          <w:bCs/>
          <w:color w:val="000000"/>
          <w:sz w:val="32"/>
        </w:rPr>
        <w:t>月</w:t>
      </w:r>
      <w:r>
        <w:rPr>
          <w:rFonts w:hint="eastAsia" w:ascii="仿宋_GB2312" w:hAnsi="仿宋_GB2312" w:eastAsia="仿宋_GB2312" w:cs="仿宋_GB2312"/>
          <w:b w:val="0"/>
          <w:bCs/>
          <w:color w:val="000000"/>
          <w:sz w:val="32"/>
          <w:lang w:val="en-US" w:eastAsia="zh-CN"/>
        </w:rPr>
        <w:t>7</w:t>
      </w:r>
      <w:r>
        <w:rPr>
          <w:rFonts w:hint="eastAsia" w:ascii="仿宋_GB2312" w:hAnsi="仿宋_GB2312" w:eastAsia="仿宋_GB2312" w:cs="仿宋_GB2312"/>
          <w:b w:val="0"/>
          <w:bCs/>
          <w:color w:val="000000"/>
          <w:sz w:val="32"/>
        </w:rPr>
        <w:t>日</w:t>
      </w:r>
    </w:p>
    <w:p w14:paraId="2CB97D7D">
      <w:pPr>
        <w:rPr>
          <w:rFonts w:ascii="仿宋_GB2312" w:hAnsi="仿宋_GB2312" w:eastAsia="仿宋_GB2312" w:cs="仿宋_GB2312"/>
          <w:bCs/>
          <w:color w:val="000000"/>
          <w:sz w:val="32"/>
          <w:szCs w:val="32"/>
        </w:rPr>
      </w:pPr>
    </w:p>
    <w:p w14:paraId="031E3EFE"/>
    <w:p w14:paraId="62BA07D4"/>
    <w:p w14:paraId="2CDC5F5F"/>
    <w:p w14:paraId="71F55FA9"/>
    <w:p w14:paraId="62BBBF64"/>
    <w:p w14:paraId="0A4160E3"/>
    <w:p w14:paraId="334E0F05"/>
    <w:p w14:paraId="60261673"/>
    <w:p w14:paraId="4BD82D6E"/>
    <w:p w14:paraId="55477866"/>
    <w:p w14:paraId="6A95EF22"/>
    <w:p w14:paraId="36319947"/>
    <w:p w14:paraId="024F29BB"/>
    <w:p w14:paraId="1A95D2CA"/>
    <w:p w14:paraId="40E9B8BD"/>
    <w:p w14:paraId="75E31356"/>
    <w:p w14:paraId="47978999"/>
    <w:p w14:paraId="036C79F9"/>
    <w:p w14:paraId="11556F5A"/>
    <w:p w14:paraId="44990E98"/>
    <w:p w14:paraId="27C0EAFC"/>
    <w:p w14:paraId="734FA6A9"/>
    <w:p w14:paraId="52DC23D2"/>
    <w:p w14:paraId="6DEC10FF"/>
    <w:p w14:paraId="4256816A"/>
    <w:p w14:paraId="60DF14C9"/>
    <w:p w14:paraId="36DEE094"/>
    <w:p w14:paraId="0C94852D"/>
    <w:p w14:paraId="373B2218"/>
    <w:p w14:paraId="2D8C7907"/>
    <w:p w14:paraId="14E9D24F"/>
    <w:p w14:paraId="05BA42BC"/>
    <w:p w14:paraId="214C11E6"/>
    <w:p w14:paraId="6EEC9593"/>
    <w:p w14:paraId="13C7F02E"/>
    <w:p w14:paraId="07157E82"/>
    <w:p w14:paraId="443162FB"/>
    <w:p w14:paraId="65235AE0"/>
    <w:p w14:paraId="5D00CB4E"/>
    <w:p w14:paraId="303C40D9"/>
    <w:p w14:paraId="6BF591F7">
      <w:pPr>
        <w:pStyle w:val="2"/>
        <w:rPr>
          <w:rFonts w:asciiTheme="minorEastAsia" w:hAnsiTheme="minorEastAsia" w:eastAsiaTheme="minorEastAsia"/>
          <w:sz w:val="32"/>
          <w:szCs w:val="32"/>
        </w:rPr>
      </w:pPr>
    </w:p>
    <w:p w14:paraId="1C08EA7F">
      <w:pPr>
        <w:pStyle w:val="2"/>
        <w:rPr>
          <w:rFonts w:asciiTheme="minorEastAsia" w:hAnsiTheme="minorEastAsia" w:eastAsiaTheme="minorEastAsia"/>
          <w:b w:val="0"/>
          <w:bCs w:val="0"/>
          <w:sz w:val="32"/>
          <w:szCs w:val="32"/>
        </w:rPr>
      </w:pPr>
      <w:r>
        <w:rPr>
          <w:rFonts w:asciiTheme="minorEastAsia" w:hAnsiTheme="minorEastAsia" w:eastAsiaTheme="minorEastAsia"/>
          <w:b w:val="0"/>
          <w:bCs w:val="0"/>
          <w:sz w:val="32"/>
          <w:szCs w:val="32"/>
        </w:rPr>
        <w:t>附件1</w:t>
      </w:r>
    </w:p>
    <w:p w14:paraId="7B58D436">
      <w:pPr>
        <w:pStyle w:val="2"/>
        <w:jc w:val="center"/>
        <w:rPr>
          <w:rFonts w:asciiTheme="minorEastAsia" w:hAnsiTheme="minorEastAsia" w:eastAsiaTheme="minorEastAsia"/>
          <w:b w:val="0"/>
          <w:bCs w:val="0"/>
          <w:sz w:val="32"/>
          <w:szCs w:val="32"/>
        </w:rPr>
      </w:pPr>
      <w:r>
        <w:rPr>
          <w:rFonts w:asciiTheme="minorEastAsia" w:hAnsiTheme="minorEastAsia" w:eastAsiaTheme="minorEastAsia"/>
          <w:b w:val="0"/>
          <w:bCs w:val="0"/>
          <w:sz w:val="32"/>
          <w:szCs w:val="32"/>
        </w:rPr>
        <w:t>委托服务</w:t>
      </w:r>
      <w:r>
        <w:rPr>
          <w:rFonts w:hint="eastAsia" w:asciiTheme="minorEastAsia" w:hAnsiTheme="minorEastAsia" w:eastAsiaTheme="minorEastAsia"/>
          <w:b w:val="0"/>
          <w:bCs w:val="0"/>
          <w:sz w:val="32"/>
          <w:szCs w:val="32"/>
        </w:rPr>
        <w:t>内容</w:t>
      </w:r>
    </w:p>
    <w:p w14:paraId="34F64703">
      <w:pPr>
        <w:pStyle w:val="13"/>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0"/>
        <w:gridCol w:w="3994"/>
        <w:gridCol w:w="3721"/>
      </w:tblGrid>
      <w:tr w14:paraId="212C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1" w:hRule="atLeast"/>
          <w:jc w:val="center"/>
        </w:trPr>
        <w:tc>
          <w:tcPr>
            <w:tcW w:w="1200" w:type="dxa"/>
            <w:tcMar>
              <w:top w:w="60" w:type="dxa"/>
              <w:left w:w="120" w:type="dxa"/>
              <w:bottom w:w="30" w:type="dxa"/>
              <w:right w:w="120" w:type="dxa"/>
            </w:tcMar>
            <w:vAlign w:val="center"/>
          </w:tcPr>
          <w:p w14:paraId="1EB098BA">
            <w:pPr>
              <w:pStyle w:val="13"/>
              <w:rPr>
                <w:rFonts w:asciiTheme="minorEastAsia" w:hAnsiTheme="minorEastAsia" w:eastAsiaTheme="minorEastAsia"/>
                <w:sz w:val="30"/>
                <w:szCs w:val="30"/>
              </w:rPr>
            </w:pPr>
            <w:r>
              <w:rPr>
                <w:rFonts w:asciiTheme="minorEastAsia" w:hAnsiTheme="minorEastAsia" w:eastAsiaTheme="minorEastAsia"/>
                <w:sz w:val="30"/>
                <w:szCs w:val="30"/>
              </w:rPr>
              <w:t>序号</w:t>
            </w:r>
          </w:p>
        </w:tc>
        <w:tc>
          <w:tcPr>
            <w:tcW w:w="3994" w:type="dxa"/>
            <w:tcMar>
              <w:top w:w="60" w:type="dxa"/>
              <w:left w:w="120" w:type="dxa"/>
              <w:bottom w:w="30" w:type="dxa"/>
              <w:right w:w="120" w:type="dxa"/>
            </w:tcMar>
            <w:vAlign w:val="center"/>
          </w:tcPr>
          <w:p w14:paraId="66B16C54">
            <w:pPr>
              <w:pStyle w:val="13"/>
              <w:rPr>
                <w:rFonts w:asciiTheme="minorEastAsia" w:hAnsiTheme="minorEastAsia" w:eastAsiaTheme="minorEastAsia"/>
                <w:sz w:val="30"/>
                <w:szCs w:val="30"/>
              </w:rPr>
            </w:pPr>
            <w:r>
              <w:rPr>
                <w:rFonts w:asciiTheme="minorEastAsia" w:hAnsiTheme="minorEastAsia" w:eastAsiaTheme="minorEastAsia"/>
                <w:sz w:val="30"/>
                <w:szCs w:val="30"/>
              </w:rPr>
              <w:t>服务项目</w:t>
            </w:r>
          </w:p>
        </w:tc>
        <w:tc>
          <w:tcPr>
            <w:tcW w:w="3721" w:type="dxa"/>
            <w:tcMar>
              <w:top w:w="60" w:type="dxa"/>
              <w:left w:w="120" w:type="dxa"/>
              <w:bottom w:w="30" w:type="dxa"/>
              <w:right w:w="120" w:type="dxa"/>
            </w:tcMar>
            <w:vAlign w:val="center"/>
          </w:tcPr>
          <w:p w14:paraId="3BB7DA3B">
            <w:pPr>
              <w:pStyle w:val="13"/>
              <w:rPr>
                <w:rFonts w:asciiTheme="minorEastAsia" w:hAnsiTheme="minorEastAsia" w:eastAsiaTheme="minorEastAsia"/>
                <w:sz w:val="30"/>
                <w:szCs w:val="30"/>
              </w:rPr>
            </w:pPr>
            <w:r>
              <w:rPr>
                <w:rFonts w:asciiTheme="minorEastAsia" w:hAnsiTheme="minorEastAsia" w:eastAsiaTheme="minorEastAsia"/>
                <w:sz w:val="30"/>
                <w:szCs w:val="30"/>
              </w:rPr>
              <w:t>备注</w:t>
            </w:r>
          </w:p>
        </w:tc>
      </w:tr>
      <w:tr w14:paraId="198D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9" w:hRule="atLeast"/>
          <w:jc w:val="center"/>
        </w:trPr>
        <w:tc>
          <w:tcPr>
            <w:tcW w:w="1200" w:type="dxa"/>
            <w:tcMar>
              <w:top w:w="60" w:type="dxa"/>
              <w:left w:w="120" w:type="dxa"/>
              <w:bottom w:w="30" w:type="dxa"/>
              <w:right w:w="120" w:type="dxa"/>
            </w:tcMar>
            <w:vAlign w:val="center"/>
          </w:tcPr>
          <w:p w14:paraId="1D78268B">
            <w:pPr>
              <w:pStyle w:val="13"/>
              <w:jc w:val="center"/>
              <w:rPr>
                <w:rFonts w:asciiTheme="minorEastAsia" w:hAnsiTheme="minorEastAsia" w:eastAsiaTheme="minorEastAsia"/>
                <w:sz w:val="30"/>
                <w:szCs w:val="30"/>
              </w:rPr>
            </w:pPr>
            <w:r>
              <w:rPr>
                <w:rFonts w:asciiTheme="minorEastAsia" w:hAnsiTheme="minorEastAsia" w:eastAsiaTheme="minorEastAsia"/>
                <w:sz w:val="30"/>
                <w:szCs w:val="30"/>
              </w:rPr>
              <w:t>1</w:t>
            </w:r>
          </w:p>
        </w:tc>
        <w:tc>
          <w:tcPr>
            <w:tcW w:w="3994" w:type="dxa"/>
            <w:tcMar>
              <w:top w:w="60" w:type="dxa"/>
              <w:left w:w="120" w:type="dxa"/>
              <w:bottom w:w="30" w:type="dxa"/>
              <w:right w:w="120" w:type="dxa"/>
            </w:tcMar>
            <w:vAlign w:val="center"/>
          </w:tcPr>
          <w:p w14:paraId="74403E19">
            <w:pPr>
              <w:pStyle w:val="13"/>
              <w:rPr>
                <w:rFonts w:asciiTheme="minorEastAsia" w:hAnsiTheme="minorEastAsia" w:eastAsiaTheme="minorEastAsia"/>
                <w:sz w:val="30"/>
                <w:szCs w:val="30"/>
              </w:rPr>
            </w:pPr>
            <w:r>
              <w:rPr>
                <w:rFonts w:asciiTheme="minorEastAsia" w:hAnsiTheme="minorEastAsia" w:eastAsiaTheme="minorEastAsia"/>
                <w:sz w:val="30"/>
                <w:szCs w:val="30"/>
              </w:rPr>
              <w:t>危险废物运输转运</w:t>
            </w:r>
          </w:p>
        </w:tc>
        <w:tc>
          <w:tcPr>
            <w:tcW w:w="3721" w:type="dxa"/>
            <w:tcMar>
              <w:top w:w="60" w:type="dxa"/>
              <w:left w:w="120" w:type="dxa"/>
              <w:bottom w:w="30" w:type="dxa"/>
              <w:right w:w="120" w:type="dxa"/>
            </w:tcMar>
            <w:vAlign w:val="center"/>
          </w:tcPr>
          <w:p w14:paraId="1028A762">
            <w:pPr>
              <w:pStyle w:val="13"/>
              <w:rPr>
                <w:rFonts w:asciiTheme="minorEastAsia" w:hAnsiTheme="minorEastAsia" w:eastAsiaTheme="minorEastAsia"/>
                <w:sz w:val="30"/>
                <w:szCs w:val="30"/>
              </w:rPr>
            </w:pPr>
            <w:r>
              <w:rPr>
                <w:rFonts w:asciiTheme="minorEastAsia" w:hAnsiTheme="minorEastAsia" w:eastAsiaTheme="minorEastAsia"/>
                <w:sz w:val="30"/>
                <w:szCs w:val="30"/>
              </w:rPr>
              <w:t>专用设备</w:t>
            </w:r>
            <w:r>
              <w:rPr>
                <w:rFonts w:hint="eastAsia" w:asciiTheme="minorEastAsia" w:hAnsiTheme="minorEastAsia" w:eastAsiaTheme="minorEastAsia"/>
                <w:sz w:val="30"/>
                <w:szCs w:val="30"/>
              </w:rPr>
              <w:t>收集、包装、运输、转运</w:t>
            </w:r>
          </w:p>
        </w:tc>
      </w:tr>
      <w:tr w14:paraId="6BB2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1" w:hRule="atLeast"/>
          <w:jc w:val="center"/>
        </w:trPr>
        <w:tc>
          <w:tcPr>
            <w:tcW w:w="1200" w:type="dxa"/>
            <w:tcMar>
              <w:top w:w="60" w:type="dxa"/>
              <w:left w:w="120" w:type="dxa"/>
              <w:bottom w:w="30" w:type="dxa"/>
              <w:right w:w="120" w:type="dxa"/>
            </w:tcMar>
            <w:vAlign w:val="center"/>
          </w:tcPr>
          <w:p w14:paraId="579E1F24">
            <w:pPr>
              <w:pStyle w:val="13"/>
              <w:jc w:val="center"/>
              <w:rPr>
                <w:rFonts w:asciiTheme="minorEastAsia" w:hAnsiTheme="minorEastAsia" w:eastAsiaTheme="minorEastAsia"/>
                <w:sz w:val="30"/>
                <w:szCs w:val="30"/>
              </w:rPr>
            </w:pPr>
            <w:r>
              <w:rPr>
                <w:rFonts w:asciiTheme="minorEastAsia" w:hAnsiTheme="minorEastAsia" w:eastAsiaTheme="minorEastAsia"/>
                <w:sz w:val="30"/>
                <w:szCs w:val="30"/>
              </w:rPr>
              <w:t>2</w:t>
            </w:r>
          </w:p>
        </w:tc>
        <w:tc>
          <w:tcPr>
            <w:tcW w:w="3994" w:type="dxa"/>
            <w:tcMar>
              <w:top w:w="60" w:type="dxa"/>
              <w:left w:w="120" w:type="dxa"/>
              <w:bottom w:w="30" w:type="dxa"/>
              <w:right w:w="120" w:type="dxa"/>
            </w:tcMar>
            <w:vAlign w:val="center"/>
          </w:tcPr>
          <w:p w14:paraId="02B99DA7">
            <w:pPr>
              <w:pStyle w:val="13"/>
              <w:rPr>
                <w:rFonts w:asciiTheme="minorEastAsia" w:hAnsiTheme="minorEastAsia" w:eastAsiaTheme="minorEastAsia"/>
                <w:sz w:val="30"/>
                <w:szCs w:val="30"/>
              </w:rPr>
            </w:pPr>
            <w:r>
              <w:rPr>
                <w:rFonts w:asciiTheme="minorEastAsia" w:hAnsiTheme="minorEastAsia" w:eastAsiaTheme="minorEastAsia"/>
                <w:sz w:val="30"/>
                <w:szCs w:val="30"/>
              </w:rPr>
              <w:t>危险废物处置</w:t>
            </w:r>
          </w:p>
        </w:tc>
        <w:tc>
          <w:tcPr>
            <w:tcW w:w="3721" w:type="dxa"/>
            <w:tcMar>
              <w:top w:w="60" w:type="dxa"/>
              <w:left w:w="120" w:type="dxa"/>
              <w:bottom w:w="30" w:type="dxa"/>
              <w:right w:w="120" w:type="dxa"/>
            </w:tcMar>
            <w:vAlign w:val="center"/>
          </w:tcPr>
          <w:p w14:paraId="58C90854">
            <w:pPr>
              <w:pStyle w:val="13"/>
              <w:rPr>
                <w:rFonts w:asciiTheme="minorEastAsia" w:hAnsiTheme="minorEastAsia" w:eastAsiaTheme="minorEastAsia"/>
                <w:sz w:val="30"/>
                <w:szCs w:val="30"/>
              </w:rPr>
            </w:pPr>
            <w:r>
              <w:rPr>
                <w:rFonts w:asciiTheme="minorEastAsia" w:hAnsiTheme="minorEastAsia" w:eastAsiaTheme="minorEastAsia"/>
                <w:sz w:val="30"/>
                <w:szCs w:val="30"/>
              </w:rPr>
              <w:t>合规处置</w:t>
            </w:r>
          </w:p>
        </w:tc>
      </w:tr>
      <w:tr w14:paraId="258C2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35" w:hRule="atLeast"/>
          <w:jc w:val="center"/>
        </w:trPr>
        <w:tc>
          <w:tcPr>
            <w:tcW w:w="1200" w:type="dxa"/>
            <w:tcMar>
              <w:top w:w="60" w:type="dxa"/>
              <w:left w:w="120" w:type="dxa"/>
              <w:bottom w:w="30" w:type="dxa"/>
              <w:right w:w="120" w:type="dxa"/>
            </w:tcMar>
            <w:vAlign w:val="center"/>
          </w:tcPr>
          <w:p w14:paraId="5124A23A">
            <w:pPr>
              <w:pStyle w:val="13"/>
              <w:jc w:val="center"/>
              <w:rPr>
                <w:rFonts w:asciiTheme="minorEastAsia" w:hAnsiTheme="minorEastAsia" w:eastAsiaTheme="minorEastAsia"/>
                <w:sz w:val="30"/>
                <w:szCs w:val="30"/>
              </w:rPr>
            </w:pPr>
            <w:r>
              <w:rPr>
                <w:rFonts w:asciiTheme="minorEastAsia" w:hAnsiTheme="minorEastAsia" w:eastAsiaTheme="minorEastAsia"/>
                <w:sz w:val="30"/>
                <w:szCs w:val="30"/>
              </w:rPr>
              <w:t>3</w:t>
            </w:r>
          </w:p>
        </w:tc>
        <w:tc>
          <w:tcPr>
            <w:tcW w:w="3994" w:type="dxa"/>
            <w:tcMar>
              <w:top w:w="60" w:type="dxa"/>
              <w:left w:w="120" w:type="dxa"/>
              <w:bottom w:w="30" w:type="dxa"/>
              <w:right w:w="120" w:type="dxa"/>
            </w:tcMar>
            <w:vAlign w:val="center"/>
          </w:tcPr>
          <w:p w14:paraId="6D1EE960">
            <w:pPr>
              <w:pStyle w:val="13"/>
              <w:rPr>
                <w:rFonts w:asciiTheme="minorEastAsia" w:hAnsiTheme="minorEastAsia" w:eastAsiaTheme="minorEastAsia"/>
                <w:sz w:val="30"/>
                <w:szCs w:val="30"/>
              </w:rPr>
            </w:pPr>
            <w:r>
              <w:rPr>
                <w:rFonts w:hint="eastAsia" w:asciiTheme="minorEastAsia" w:hAnsiTheme="minorEastAsia" w:eastAsiaTheme="minorEastAsia"/>
                <w:sz w:val="30"/>
                <w:szCs w:val="30"/>
              </w:rPr>
              <w:t>危险废物</w:t>
            </w:r>
            <w:r>
              <w:rPr>
                <w:rFonts w:asciiTheme="minorEastAsia" w:hAnsiTheme="minorEastAsia" w:eastAsiaTheme="minorEastAsia"/>
                <w:sz w:val="30"/>
                <w:szCs w:val="30"/>
              </w:rPr>
              <w:t>备案服务</w:t>
            </w:r>
          </w:p>
        </w:tc>
        <w:tc>
          <w:tcPr>
            <w:tcW w:w="3721" w:type="dxa"/>
            <w:tcMar>
              <w:top w:w="60" w:type="dxa"/>
              <w:left w:w="120" w:type="dxa"/>
              <w:bottom w:w="30" w:type="dxa"/>
              <w:right w:w="120" w:type="dxa"/>
            </w:tcMar>
            <w:vAlign w:val="center"/>
          </w:tcPr>
          <w:p w14:paraId="223FD6BC">
            <w:pPr>
              <w:pStyle w:val="13"/>
              <w:rPr>
                <w:rFonts w:asciiTheme="minorEastAsia" w:hAnsiTheme="minorEastAsia" w:eastAsiaTheme="minorEastAsia"/>
                <w:sz w:val="30"/>
                <w:szCs w:val="30"/>
              </w:rPr>
            </w:pPr>
            <w:r>
              <w:rPr>
                <w:rFonts w:asciiTheme="minorEastAsia" w:hAnsiTheme="minorEastAsia" w:eastAsiaTheme="minorEastAsia"/>
                <w:sz w:val="30"/>
                <w:szCs w:val="30"/>
              </w:rPr>
              <w:t>含管理计划备案、转移联单办理等</w:t>
            </w:r>
          </w:p>
        </w:tc>
      </w:tr>
      <w:tr w14:paraId="0360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89" w:hRule="atLeast"/>
          <w:jc w:val="center"/>
        </w:trPr>
        <w:tc>
          <w:tcPr>
            <w:tcW w:w="1200" w:type="dxa"/>
            <w:tcMar>
              <w:top w:w="60" w:type="dxa"/>
              <w:left w:w="120" w:type="dxa"/>
              <w:bottom w:w="30" w:type="dxa"/>
              <w:right w:w="120" w:type="dxa"/>
            </w:tcMar>
            <w:vAlign w:val="center"/>
          </w:tcPr>
          <w:p w14:paraId="2BC97F5F">
            <w:pPr>
              <w:pStyle w:val="13"/>
              <w:jc w:val="center"/>
              <w:rPr>
                <w:rFonts w:asciiTheme="minorEastAsia" w:hAnsiTheme="minorEastAsia" w:eastAsiaTheme="minorEastAsia"/>
                <w:sz w:val="30"/>
                <w:szCs w:val="30"/>
              </w:rPr>
            </w:pPr>
            <w:r>
              <w:rPr>
                <w:rFonts w:asciiTheme="minorEastAsia" w:hAnsiTheme="minorEastAsia" w:eastAsiaTheme="minorEastAsia"/>
                <w:sz w:val="30"/>
                <w:szCs w:val="30"/>
              </w:rPr>
              <w:t>4</w:t>
            </w:r>
          </w:p>
        </w:tc>
        <w:tc>
          <w:tcPr>
            <w:tcW w:w="3994" w:type="dxa"/>
            <w:tcMar>
              <w:top w:w="60" w:type="dxa"/>
              <w:left w:w="120" w:type="dxa"/>
              <w:bottom w:w="30" w:type="dxa"/>
              <w:right w:w="120" w:type="dxa"/>
            </w:tcMar>
            <w:vAlign w:val="center"/>
          </w:tcPr>
          <w:p w14:paraId="61C43785">
            <w:pPr>
              <w:pStyle w:val="13"/>
              <w:rPr>
                <w:rFonts w:asciiTheme="minorEastAsia" w:hAnsiTheme="minorEastAsia" w:eastAsiaTheme="minorEastAsia"/>
                <w:sz w:val="30"/>
                <w:szCs w:val="30"/>
              </w:rPr>
            </w:pPr>
            <w:r>
              <w:rPr>
                <w:rFonts w:hint="eastAsia" w:asciiTheme="minorEastAsia" w:hAnsiTheme="minorEastAsia" w:eastAsiaTheme="minorEastAsia"/>
                <w:sz w:val="30"/>
                <w:szCs w:val="30"/>
              </w:rPr>
              <w:t>取</w:t>
            </w:r>
            <w:r>
              <w:rPr>
                <w:rFonts w:asciiTheme="minorEastAsia" w:hAnsiTheme="minorEastAsia" w:eastAsiaTheme="minorEastAsia"/>
                <w:sz w:val="30"/>
                <w:szCs w:val="30"/>
              </w:rPr>
              <w:t>材室、制片室</w:t>
            </w:r>
            <w:r>
              <w:rPr>
                <w:rFonts w:hint="eastAsia" w:asciiTheme="minorEastAsia" w:hAnsiTheme="minorEastAsia" w:eastAsiaTheme="minorEastAsia"/>
                <w:sz w:val="30"/>
                <w:szCs w:val="30"/>
              </w:rPr>
              <w:t>等空间</w:t>
            </w:r>
            <w:r>
              <w:rPr>
                <w:rFonts w:asciiTheme="minorEastAsia" w:hAnsiTheme="minorEastAsia" w:eastAsiaTheme="minorEastAsia"/>
                <w:sz w:val="30"/>
                <w:szCs w:val="30"/>
              </w:rPr>
              <w:t>甲醛、二甲苯有害浓度检测</w:t>
            </w:r>
          </w:p>
        </w:tc>
        <w:tc>
          <w:tcPr>
            <w:tcW w:w="3721" w:type="dxa"/>
            <w:tcMar>
              <w:top w:w="60" w:type="dxa"/>
              <w:left w:w="120" w:type="dxa"/>
              <w:bottom w:w="30" w:type="dxa"/>
              <w:right w:w="120" w:type="dxa"/>
            </w:tcMar>
            <w:vAlign w:val="center"/>
          </w:tcPr>
          <w:p w14:paraId="78E5707E">
            <w:pPr>
              <w:pStyle w:val="13"/>
              <w:jc w:val="center"/>
              <w:rPr>
                <w:rFonts w:asciiTheme="minorEastAsia" w:hAnsiTheme="minorEastAsia" w:eastAsiaTheme="minorEastAsia"/>
                <w:sz w:val="30"/>
                <w:szCs w:val="30"/>
              </w:rPr>
            </w:pPr>
            <w:r>
              <w:rPr>
                <w:rFonts w:hint="eastAsia" w:asciiTheme="minorEastAsia" w:hAnsiTheme="minorEastAsia" w:eastAsiaTheme="minorEastAsia"/>
                <w:sz w:val="30"/>
                <w:szCs w:val="30"/>
              </w:rPr>
              <w:t>相关检测并出具合格报告</w:t>
            </w:r>
          </w:p>
        </w:tc>
      </w:tr>
    </w:tbl>
    <w:p w14:paraId="4DBEB949">
      <w:pPr>
        <w:pStyle w:val="2"/>
        <w:rPr>
          <w:rFonts w:asciiTheme="minorEastAsia" w:hAnsiTheme="minorEastAsia" w:eastAsiaTheme="minorEastAsia"/>
          <w:sz w:val="32"/>
          <w:szCs w:val="32"/>
        </w:rPr>
        <w:sectPr>
          <w:footerReference r:id="rId3" w:type="default"/>
          <w:pgSz w:w="11906" w:h="16838"/>
          <w:pgMar w:top="1440" w:right="1440" w:bottom="1440" w:left="1440" w:header="708" w:footer="708" w:gutter="0"/>
          <w:pgNumType w:start="0"/>
          <w:cols w:space="720" w:num="1"/>
          <w:titlePg/>
          <w:docGrid w:linePitch="360" w:charSpace="0"/>
        </w:sectPr>
      </w:pPr>
    </w:p>
    <w:p w14:paraId="792E1A8B">
      <w:pPr>
        <w:pStyle w:val="2"/>
        <w:rPr>
          <w:rFonts w:hint="eastAsia" w:asciiTheme="minorEastAsia" w:hAnsiTheme="minorEastAsia" w:eastAsiaTheme="minorEastAsia"/>
          <w:b w:val="0"/>
          <w:bCs w:val="0"/>
          <w:sz w:val="32"/>
          <w:szCs w:val="32"/>
        </w:rPr>
      </w:pPr>
      <w:r>
        <w:rPr>
          <w:rFonts w:hint="eastAsia" w:asciiTheme="minorEastAsia" w:hAnsiTheme="minorEastAsia" w:eastAsiaTheme="minorEastAsia"/>
          <w:b w:val="0"/>
          <w:bCs w:val="0"/>
          <w:sz w:val="32"/>
          <w:szCs w:val="32"/>
        </w:rPr>
        <w:t>附件2</w:t>
      </w:r>
    </w:p>
    <w:p w14:paraId="03F1A523">
      <w:pPr>
        <w:pStyle w:val="2"/>
        <w:jc w:val="center"/>
        <w:rPr>
          <w:rFonts w:asciiTheme="minorEastAsia" w:hAnsiTheme="minorEastAsia" w:eastAsiaTheme="minorEastAsia"/>
          <w:b w:val="0"/>
          <w:bCs w:val="0"/>
          <w:sz w:val="32"/>
          <w:szCs w:val="32"/>
        </w:rPr>
      </w:pPr>
      <w:r>
        <w:rPr>
          <w:rFonts w:hint="eastAsia" w:asciiTheme="minorEastAsia" w:hAnsiTheme="minorEastAsia" w:eastAsiaTheme="minorEastAsia"/>
          <w:b w:val="0"/>
          <w:bCs w:val="0"/>
          <w:sz w:val="32"/>
          <w:szCs w:val="32"/>
        </w:rPr>
        <w:t>废物信息调查表</w:t>
      </w:r>
    </w:p>
    <w:tbl>
      <w:tblPr>
        <w:tblStyle w:val="7"/>
        <w:tblpPr w:leftFromText="180" w:rightFromText="180" w:vertAnchor="text" w:horzAnchor="margin" w:tblpXSpec="center" w:tblpY="284"/>
        <w:tblW w:w="154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67"/>
        <w:gridCol w:w="1413"/>
        <w:gridCol w:w="1701"/>
        <w:gridCol w:w="1559"/>
        <w:gridCol w:w="992"/>
        <w:gridCol w:w="1560"/>
        <w:gridCol w:w="1417"/>
        <w:gridCol w:w="1276"/>
        <w:gridCol w:w="4961"/>
      </w:tblGrid>
      <w:tr w14:paraId="4DF8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758120D">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序号</w:t>
            </w:r>
          </w:p>
        </w:tc>
        <w:tc>
          <w:tcPr>
            <w:tcW w:w="141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AC0CE85">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废物类别</w:t>
            </w:r>
          </w:p>
        </w:tc>
        <w:tc>
          <w:tcPr>
            <w:tcW w:w="170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22F8CEA">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废物代码</w:t>
            </w:r>
          </w:p>
        </w:tc>
        <w:tc>
          <w:tcPr>
            <w:tcW w:w="15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C930F53">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废物名称</w:t>
            </w:r>
          </w:p>
        </w:tc>
        <w:tc>
          <w:tcPr>
            <w:tcW w:w="99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8C889A2">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物理形态</w:t>
            </w:r>
          </w:p>
        </w:tc>
        <w:tc>
          <w:tcPr>
            <w:tcW w:w="156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AA304AD">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主要有毒有害成分</w:t>
            </w:r>
          </w:p>
        </w:tc>
        <w:tc>
          <w:tcPr>
            <w:tcW w:w="141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796769D">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危险特性</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7FA0B9E">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产生工艺环节</w:t>
            </w:r>
          </w:p>
        </w:tc>
        <w:tc>
          <w:tcPr>
            <w:tcW w:w="496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F084685">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贮存、运输、应急注意事项</w:t>
            </w:r>
          </w:p>
        </w:tc>
      </w:tr>
      <w:tr w14:paraId="6DA2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26" w:hRule="atLeast"/>
        </w:trPr>
        <w:tc>
          <w:tcPr>
            <w:tcW w:w="56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4BE41FF">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1</w:t>
            </w:r>
          </w:p>
        </w:tc>
        <w:tc>
          <w:tcPr>
            <w:tcW w:w="141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1F1457">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HW49其他废物</w:t>
            </w:r>
          </w:p>
        </w:tc>
        <w:tc>
          <w:tcPr>
            <w:tcW w:w="170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042EAF6">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900-047-49</w:t>
            </w:r>
          </w:p>
        </w:tc>
        <w:tc>
          <w:tcPr>
            <w:tcW w:w="15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5FFCCE4">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废弃二甲苯液体</w:t>
            </w:r>
          </w:p>
        </w:tc>
        <w:tc>
          <w:tcPr>
            <w:tcW w:w="99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09F9D3F">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液态</w:t>
            </w:r>
          </w:p>
        </w:tc>
        <w:tc>
          <w:tcPr>
            <w:tcW w:w="156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E60BF5C">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二甲苯</w:t>
            </w:r>
          </w:p>
        </w:tc>
        <w:tc>
          <w:tcPr>
            <w:tcW w:w="141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1E1B606">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毒性、挥发性</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B24C122">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病理科制片工艺</w:t>
            </w:r>
          </w:p>
        </w:tc>
        <w:tc>
          <w:tcPr>
            <w:tcW w:w="496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74E56CF">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专用密封容器贮存，远离热源、火源；运输时配备消防器材及泄漏应急处理设备；应急时需通风散气，佩戴防护用品。</w:t>
            </w:r>
          </w:p>
        </w:tc>
      </w:tr>
      <w:tr w14:paraId="08FF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1B9AD2D">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2</w:t>
            </w:r>
          </w:p>
        </w:tc>
        <w:tc>
          <w:tcPr>
            <w:tcW w:w="141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87D852A">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HW49其他废物</w:t>
            </w:r>
          </w:p>
        </w:tc>
        <w:tc>
          <w:tcPr>
            <w:tcW w:w="170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1915886">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900-047-49</w:t>
            </w:r>
          </w:p>
        </w:tc>
        <w:tc>
          <w:tcPr>
            <w:tcW w:w="15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B13BBED">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废弃甲醛液体</w:t>
            </w:r>
          </w:p>
        </w:tc>
        <w:tc>
          <w:tcPr>
            <w:tcW w:w="99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8E6243C">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液态</w:t>
            </w:r>
          </w:p>
        </w:tc>
        <w:tc>
          <w:tcPr>
            <w:tcW w:w="156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F4A44EF">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甲醛</w:t>
            </w:r>
          </w:p>
        </w:tc>
        <w:tc>
          <w:tcPr>
            <w:tcW w:w="141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4610B27">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毒性、腐蚀性</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35293DC">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病理科取材、制片工艺</w:t>
            </w:r>
          </w:p>
        </w:tc>
        <w:tc>
          <w:tcPr>
            <w:tcW w:w="496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AFDA464">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专用密封容器贮存，避免与酸性物质接触；运输时轻拿轻放，防止泄漏；应急时需用碱性物质中和，做好防护。</w:t>
            </w:r>
          </w:p>
        </w:tc>
      </w:tr>
      <w:tr w14:paraId="6577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49" w:hRule="atLeast"/>
        </w:trPr>
        <w:tc>
          <w:tcPr>
            <w:tcW w:w="56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EB2B073">
            <w:pPr>
              <w:pStyle w:val="13"/>
              <w:rPr>
                <w:rFonts w:asciiTheme="minorEastAsia" w:hAnsiTheme="minorEastAsia" w:eastAsiaTheme="minorEastAsia"/>
                <w:kern w:val="2"/>
                <w:sz w:val="24"/>
                <w:szCs w:val="30"/>
              </w:rPr>
            </w:pPr>
            <w:r>
              <w:rPr>
                <w:rFonts w:hint="eastAsia" w:asciiTheme="minorEastAsia" w:hAnsiTheme="minorEastAsia" w:eastAsiaTheme="minorEastAsia"/>
                <w:kern w:val="2"/>
                <w:sz w:val="24"/>
                <w:szCs w:val="30"/>
              </w:rPr>
              <w:t>3</w:t>
            </w:r>
          </w:p>
        </w:tc>
        <w:tc>
          <w:tcPr>
            <w:tcW w:w="141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C8259BB">
            <w:pPr>
              <w:pStyle w:val="13"/>
              <w:rPr>
                <w:rFonts w:asciiTheme="minorEastAsia" w:hAnsiTheme="minorEastAsia" w:eastAsiaTheme="minorEastAsia"/>
                <w:kern w:val="2"/>
                <w:sz w:val="24"/>
                <w:szCs w:val="30"/>
              </w:rPr>
            </w:pPr>
            <w:r>
              <w:rPr>
                <w:rFonts w:asciiTheme="minorEastAsia" w:hAnsiTheme="minorEastAsia" w:eastAsiaTheme="minorEastAsia"/>
                <w:sz w:val="24"/>
                <w:szCs w:val="30"/>
              </w:rPr>
              <w:t>HW49 其他废物</w:t>
            </w:r>
          </w:p>
        </w:tc>
        <w:tc>
          <w:tcPr>
            <w:tcW w:w="170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2C653A9">
            <w:pPr>
              <w:pStyle w:val="13"/>
              <w:rPr>
                <w:rFonts w:asciiTheme="minorEastAsia" w:hAnsiTheme="minorEastAsia" w:eastAsiaTheme="minorEastAsia"/>
                <w:kern w:val="2"/>
                <w:sz w:val="24"/>
                <w:szCs w:val="30"/>
              </w:rPr>
            </w:pPr>
            <w:r>
              <w:rPr>
                <w:rFonts w:asciiTheme="minorEastAsia" w:hAnsiTheme="minorEastAsia" w:eastAsiaTheme="minorEastAsia"/>
                <w:sz w:val="24"/>
                <w:szCs w:val="30"/>
              </w:rPr>
              <w:t>900-046-49</w:t>
            </w:r>
          </w:p>
        </w:tc>
        <w:tc>
          <w:tcPr>
            <w:tcW w:w="15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E018AC1">
            <w:pPr>
              <w:pStyle w:val="13"/>
              <w:rPr>
                <w:rFonts w:asciiTheme="minorEastAsia" w:hAnsiTheme="minorEastAsia" w:eastAsiaTheme="minorEastAsia"/>
                <w:kern w:val="2"/>
                <w:sz w:val="24"/>
                <w:szCs w:val="30"/>
              </w:rPr>
            </w:pPr>
            <w:r>
              <w:rPr>
                <w:rFonts w:asciiTheme="minorEastAsia" w:hAnsiTheme="minorEastAsia" w:eastAsiaTheme="minorEastAsia"/>
                <w:sz w:val="24"/>
                <w:szCs w:val="30"/>
              </w:rPr>
              <w:t>污水处理站污泥</w:t>
            </w:r>
          </w:p>
        </w:tc>
        <w:tc>
          <w:tcPr>
            <w:tcW w:w="99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1B8DC42">
            <w:pPr>
              <w:pStyle w:val="13"/>
              <w:rPr>
                <w:rFonts w:asciiTheme="minorEastAsia" w:hAnsiTheme="minorEastAsia" w:eastAsiaTheme="minorEastAsia"/>
                <w:kern w:val="2"/>
                <w:sz w:val="24"/>
                <w:szCs w:val="30"/>
              </w:rPr>
            </w:pPr>
            <w:r>
              <w:rPr>
                <w:rFonts w:asciiTheme="minorEastAsia" w:hAnsiTheme="minorEastAsia" w:eastAsiaTheme="minorEastAsia"/>
                <w:sz w:val="24"/>
                <w:szCs w:val="30"/>
              </w:rPr>
              <w:t>半固态</w:t>
            </w:r>
          </w:p>
        </w:tc>
        <w:tc>
          <w:tcPr>
            <w:tcW w:w="156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A0037F8">
            <w:pPr>
              <w:pStyle w:val="13"/>
              <w:rPr>
                <w:rFonts w:asciiTheme="minorEastAsia" w:hAnsiTheme="minorEastAsia" w:eastAsiaTheme="minorEastAsia"/>
                <w:kern w:val="2"/>
                <w:sz w:val="24"/>
                <w:szCs w:val="30"/>
              </w:rPr>
            </w:pPr>
            <w:r>
              <w:rPr>
                <w:rFonts w:asciiTheme="minorEastAsia" w:hAnsiTheme="minorEastAsia" w:eastAsiaTheme="minorEastAsia"/>
                <w:sz w:val="24"/>
                <w:szCs w:val="30"/>
              </w:rPr>
              <w:t>病原微生物、重金属、有机物等</w:t>
            </w:r>
          </w:p>
        </w:tc>
        <w:tc>
          <w:tcPr>
            <w:tcW w:w="141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36001F7">
            <w:pPr>
              <w:pStyle w:val="13"/>
              <w:rPr>
                <w:rFonts w:asciiTheme="minorEastAsia" w:hAnsiTheme="minorEastAsia" w:eastAsiaTheme="minorEastAsia"/>
                <w:kern w:val="2"/>
                <w:sz w:val="24"/>
                <w:szCs w:val="30"/>
              </w:rPr>
            </w:pPr>
            <w:r>
              <w:rPr>
                <w:rFonts w:asciiTheme="minorEastAsia" w:hAnsiTheme="minorEastAsia" w:eastAsiaTheme="minorEastAsia"/>
                <w:sz w:val="24"/>
                <w:szCs w:val="30"/>
              </w:rPr>
              <w:t>毒性、感染性</w:t>
            </w:r>
          </w:p>
        </w:tc>
        <w:tc>
          <w:tcPr>
            <w:tcW w:w="127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8A9557D">
            <w:pPr>
              <w:pStyle w:val="13"/>
              <w:rPr>
                <w:rFonts w:asciiTheme="minorEastAsia" w:hAnsiTheme="minorEastAsia" w:eastAsiaTheme="minorEastAsia"/>
                <w:kern w:val="2"/>
                <w:sz w:val="24"/>
                <w:szCs w:val="30"/>
              </w:rPr>
            </w:pPr>
            <w:r>
              <w:rPr>
                <w:rFonts w:asciiTheme="minorEastAsia" w:hAnsiTheme="minorEastAsia" w:eastAsiaTheme="minorEastAsia"/>
                <w:sz w:val="24"/>
                <w:szCs w:val="30"/>
              </w:rPr>
              <w:t>污水处理站沉淀、压滤</w:t>
            </w:r>
          </w:p>
        </w:tc>
        <w:tc>
          <w:tcPr>
            <w:tcW w:w="496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FA1C6FB">
            <w:pPr>
              <w:pStyle w:val="13"/>
              <w:rPr>
                <w:rFonts w:asciiTheme="minorEastAsia" w:hAnsiTheme="minorEastAsia" w:eastAsiaTheme="minorEastAsia"/>
                <w:kern w:val="2"/>
                <w:sz w:val="24"/>
                <w:szCs w:val="30"/>
              </w:rPr>
            </w:pPr>
            <w:r>
              <w:rPr>
                <w:rFonts w:asciiTheme="minorEastAsia" w:hAnsiTheme="minorEastAsia" w:eastAsiaTheme="minorEastAsia"/>
                <w:sz w:val="24"/>
                <w:szCs w:val="30"/>
              </w:rPr>
              <w:t>专用密封容器贮存，避免与感染性废物混放；运输时轻拿轻放，防止渗漏；应先进行消毒处理（如石灰消毒或高温消毒），再委托有资质单位处置，做好防护与转移联单记录。</w:t>
            </w:r>
          </w:p>
        </w:tc>
      </w:tr>
    </w:tbl>
    <w:p w14:paraId="1C2C06ED">
      <w:pPr>
        <w:pStyle w:val="2"/>
      </w:pPr>
      <w:bookmarkStart w:id="11" w:name="_GoBack"/>
      <w:bookmarkEnd w:id="11"/>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等线">
    <w:altName w:val="Arial Unicode MS"/>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270094"/>
      <w:docPartObj>
        <w:docPartGallery w:val="AutoText"/>
      </w:docPartObj>
    </w:sdtPr>
    <w:sdtContent>
      <w:p w14:paraId="43334593">
        <w:pPr>
          <w:pStyle w:val="4"/>
          <w:jc w:val="center"/>
        </w:pPr>
        <w:r>
          <w:fldChar w:fldCharType="begin"/>
        </w:r>
        <w:r>
          <w:instrText xml:space="preserve">PAGE   \* MERGEFORMAT</w:instrText>
        </w:r>
        <w:r>
          <w:fldChar w:fldCharType="separate"/>
        </w:r>
        <w:r>
          <w:rPr>
            <w:lang w:val="zh-CN"/>
          </w:rPr>
          <w:t>5</w:t>
        </w:r>
        <w:r>
          <w:fldChar w:fldCharType="end"/>
        </w:r>
      </w:p>
    </w:sdtContent>
  </w:sdt>
  <w:p w14:paraId="10508574">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57"/>
    <w:rsid w:val="001F176F"/>
    <w:rsid w:val="002D32A5"/>
    <w:rsid w:val="00396457"/>
    <w:rsid w:val="004D2FA8"/>
    <w:rsid w:val="006D486F"/>
    <w:rsid w:val="00720781"/>
    <w:rsid w:val="007E1620"/>
    <w:rsid w:val="0083760C"/>
    <w:rsid w:val="009C72FF"/>
    <w:rsid w:val="00BC1464"/>
    <w:rsid w:val="00C554E7"/>
    <w:rsid w:val="00D12531"/>
    <w:rsid w:val="00EB18EC"/>
    <w:rsid w:val="3FF26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link w:val="12"/>
    <w:qFormat/>
    <w:uiPriority w:val="0"/>
    <w:pPr>
      <w:spacing w:before="300" w:after="120" w:line="288" w:lineRule="auto"/>
      <w:outlineLvl w:val="2"/>
    </w:pPr>
    <w:rPr>
      <w:rFonts w:ascii="Arial" w:hAnsi="Arial" w:eastAsia="等线" w:cs="Arial"/>
      <w:b/>
      <w:bCs/>
      <w:kern w:val="0"/>
      <w:sz w:val="30"/>
      <w:szCs w:val="30"/>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11"/>
    <w:semiHidden/>
    <w:unhideWhenUsed/>
    <w:uiPriority w:val="99"/>
    <w:pPr>
      <w:ind w:left="100" w:leftChars="2500"/>
    </w:pPr>
  </w:style>
  <w:style w:type="paragraph" w:styleId="4">
    <w:name w:val="footer"/>
    <w:basedOn w:val="1"/>
    <w:link w:val="14"/>
    <w:unhideWhenUsed/>
    <w:uiPriority w:val="99"/>
    <w:pPr>
      <w:tabs>
        <w:tab w:val="center" w:pos="4153"/>
        <w:tab w:val="right" w:pos="8306"/>
      </w:tabs>
      <w:snapToGrid w:val="0"/>
      <w:jc w:val="left"/>
    </w:pPr>
    <w:rPr>
      <w:rFonts w:eastAsiaTheme="minorEastAsia"/>
      <w:kern w:val="0"/>
      <w:sz w:val="18"/>
      <w:szCs w:val="18"/>
    </w:rPr>
  </w:style>
  <w:style w:type="paragraph" w:styleId="5">
    <w:name w:val="toc 1"/>
    <w:basedOn w:val="1"/>
    <w:next w:val="1"/>
    <w:uiPriority w:val="39"/>
    <w:pPr>
      <w:tabs>
        <w:tab w:val="right" w:leader="dot" w:pos="9540"/>
      </w:tabs>
      <w:spacing w:line="440" w:lineRule="exact"/>
      <w:ind w:right="107" w:rightChars="51"/>
    </w:pPr>
    <w:rPr>
      <w:rFonts w:ascii="宋体" w:hAnsi="宋体"/>
      <w:b/>
      <w:caps/>
      <w:sz w:val="28"/>
      <w:szCs w:val="32"/>
    </w:rPr>
  </w:style>
  <w:style w:type="paragraph" w:styleId="6">
    <w:name w:val="Normal (Web)"/>
    <w:basedOn w:val="1"/>
    <w:link w:val="10"/>
    <w:qFormat/>
    <w:uiPriority w:val="99"/>
    <w:pPr>
      <w:widowControl/>
      <w:spacing w:before="100" w:beforeAutospacing="1" w:after="100" w:afterAutospacing="1"/>
      <w:jc w:val="left"/>
    </w:pPr>
    <w:rPr>
      <w:rFonts w:ascii="宋体" w:hAnsi="宋体" w:cs="宋体"/>
      <w:kern w:val="0"/>
      <w:sz w:val="24"/>
    </w:rPr>
  </w:style>
  <w:style w:type="character" w:styleId="9">
    <w:name w:val="Hyperlink"/>
    <w:uiPriority w:val="0"/>
    <w:rPr>
      <w:color w:val="0000FF"/>
      <w:u w:val="single"/>
    </w:rPr>
  </w:style>
  <w:style w:type="character" w:customStyle="1" w:styleId="10">
    <w:name w:val="普通(网站) Char"/>
    <w:link w:val="6"/>
    <w:uiPriority w:val="99"/>
    <w:rPr>
      <w:rFonts w:ascii="宋体" w:hAnsi="宋体" w:eastAsia="宋体" w:cs="宋体"/>
      <w:kern w:val="0"/>
      <w:sz w:val="24"/>
      <w:szCs w:val="24"/>
    </w:rPr>
  </w:style>
  <w:style w:type="character" w:customStyle="1" w:styleId="11">
    <w:name w:val="日期 Char"/>
    <w:basedOn w:val="8"/>
    <w:link w:val="3"/>
    <w:semiHidden/>
    <w:uiPriority w:val="99"/>
    <w:rPr>
      <w:rFonts w:ascii="Times New Roman" w:hAnsi="Times New Roman" w:eastAsia="宋体" w:cs="Times New Roman"/>
      <w:szCs w:val="24"/>
    </w:rPr>
  </w:style>
  <w:style w:type="character" w:customStyle="1" w:styleId="12">
    <w:name w:val="标题 3 Char"/>
    <w:basedOn w:val="8"/>
    <w:link w:val="2"/>
    <w:uiPriority w:val="0"/>
    <w:rPr>
      <w:rFonts w:ascii="Arial" w:hAnsi="Arial" w:eastAsia="等线" w:cs="Arial"/>
      <w:b/>
      <w:bCs/>
      <w:kern w:val="0"/>
      <w:sz w:val="30"/>
      <w:szCs w:val="30"/>
    </w:rPr>
  </w:style>
  <w:style w:type="paragraph" w:customStyle="1" w:styleId="13">
    <w:name w:val="2"/>
    <w:uiPriority w:val="0"/>
    <w:pPr>
      <w:spacing w:before="120" w:after="120" w:line="288" w:lineRule="auto"/>
    </w:pPr>
    <w:rPr>
      <w:rFonts w:ascii="Arial" w:hAnsi="Arial" w:eastAsia="等线" w:cs="Arial"/>
      <w:kern w:val="0"/>
      <w:sz w:val="22"/>
      <w:szCs w:val="22"/>
      <w:lang w:val="en-US" w:eastAsia="zh-CN" w:bidi="ar-SA"/>
    </w:rPr>
  </w:style>
  <w:style w:type="character" w:customStyle="1" w:styleId="14">
    <w:name w:val="页脚 Char"/>
    <w:basedOn w:val="8"/>
    <w:link w:val="4"/>
    <w:uiPriority w:val="99"/>
    <w:rPr>
      <w:rFonts w:ascii="Times New Roman" w:hAnsi="Times New Roman" w:cs="Times New Roman"/>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DF5D6-AEA3-446D-911A-AC6372257080}">
  <ds:schemaRefs/>
</ds:datastoreItem>
</file>

<file path=docProps/app.xml><?xml version="1.0" encoding="utf-8"?>
<Properties xmlns="http://schemas.openxmlformats.org/officeDocument/2006/extended-properties" xmlns:vt="http://schemas.openxmlformats.org/officeDocument/2006/docPropsVTypes">
  <Template>Normal.dotm</Template>
  <Pages>8</Pages>
  <Words>1524</Words>
  <Characters>1646</Characters>
  <Lines>16</Lines>
  <Paragraphs>4</Paragraphs>
  <TotalTime>54</TotalTime>
  <ScaleCrop>false</ScaleCrop>
  <LinksUpToDate>false</LinksUpToDate>
  <CharactersWithSpaces>1651</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2026-03-12T02:14:00Z</dcterms:created>
  <dc:creator>admin</dc:creator>
  <cp:lastModifiedBy>一杯白开水</cp:lastModifiedBy>
  <dcterms:modified xsi:type="dcterms:W3CDTF">2026-04-07T01:01:06Z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eyJoZGlkIjoiYzdhZjRjZTE1YWVmZjI2YTA0ZWY4YjVjNWM2MzA2MjYiLCJ1c2VySWQiOiI0NTM3MzIxOTMifQ==</vt:lpwstr>
  </property>
  <property fmtid="{D5CDD505-2E9C-101B-9397-08002B2CF9AE}" pid="3" name="KSOProductBuildVer">
    <vt:lpwstr>2052-12.1.0.22483</vt:lpwstr>
  </property>
  <property fmtid="{D5CDD505-2E9C-101B-9397-08002B2CF9AE}" pid="4" name="ICV">
    <vt:lpwstr>0F768F20711F49909B92644B8425CEC8_12</vt:lpwstr>
  </property>
</Properties>
</file>