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F4390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昆明市西山区人民医院医师节活动策划执行服务项目征询公告</w:t>
      </w:r>
    </w:p>
    <w:p w14:paraId="4C714E04">
      <w:pPr>
        <w:spacing w:before="120" w:after="120" w:line="288" w:lineRule="auto"/>
        <w:ind w:left="0"/>
        <w:jc w:val="left"/>
      </w:pPr>
    </w:p>
    <w:p w14:paraId="409A69AF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0" w:name="heading_0"/>
      <w:r>
        <w:rPr>
          <w:rFonts w:hint="eastAsia"/>
          <w:lang w:eastAsia="zh-CN"/>
        </w:rPr>
        <w:t>一、</w:t>
      </w:r>
      <w:r>
        <w:t>项目基本情况与活动背景</w:t>
      </w:r>
      <w:bookmarkEnd w:id="0"/>
    </w:p>
    <w:p w14:paraId="366FAC4D">
      <w:pPr>
        <w:pStyle w:val="11"/>
        <w:rPr>
          <w:rFonts w:ascii="仿宋_GB2312" w:hAnsi="仿宋_GB2312" w:eastAsia="仿宋_GB2312" w:cs="Times New Roman"/>
          <w:sz w:val="32"/>
        </w:rPr>
      </w:pPr>
      <w:r>
        <w:rPr>
          <w:rFonts w:ascii="仿宋_GB2312" w:hAnsi="仿宋_GB2312" w:eastAsia="仿宋_GB2312" w:cs="Times New Roman"/>
          <w:sz w:val="32"/>
        </w:rPr>
        <w:t>为庆祝2026年中国医师节，弘扬“健康所系、性命相托”的医者使命与职业精神，进一步提升医师团队的专业素养和服务水平，昆明市西山区人民医院拟举办一系列主题鲜明、内容丰富的医师节活动。通过此次活动，旨在增强医师队伍的凝聚力和向心力，提升医师的职业荣誉感与归属感，同时加强医患沟通、促进医患和谐，充分展现我院医师爱岗敬业、精益求精、甘于奉献、大爱无疆的良好职业形象和精神风貌，激励全体医师以更饱满的热情投入到医疗服务工作中。</w:t>
      </w:r>
    </w:p>
    <w:p w14:paraId="70EB5B59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1" w:name="heading_1"/>
      <w:r>
        <w:rPr>
          <w:rFonts w:hint="eastAsia"/>
          <w:lang w:eastAsia="zh-CN"/>
        </w:rPr>
        <w:t>二、</w:t>
      </w:r>
      <w:r>
        <w:t>单位地址及参与人数</w:t>
      </w:r>
      <w:bookmarkEnd w:id="1"/>
    </w:p>
    <w:p w14:paraId="7EBA6286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bdr w:val="none" w:sz="0" w:space="0"/>
        </w:rPr>
      </w:pPr>
      <w:r>
        <w:rPr>
          <w:rStyle w:val="17"/>
          <w:rFonts w:hint="eastAsia" w:eastAsia="楷体_GB2312"/>
          <w:lang w:eastAsia="zh-CN"/>
        </w:rPr>
        <w:t>（一）</w:t>
      </w:r>
      <w:r>
        <w:rPr>
          <w:rStyle w:val="17"/>
        </w:rPr>
        <w:t>单位地址</w:t>
      </w:r>
      <w:r>
        <w:rPr>
          <w:rFonts w:ascii="仿宋_GB2312" w:hAnsi="仿宋_GB2312" w:eastAsia="仿宋_GB2312" w:cs="Times New Roman"/>
          <w:sz w:val="32"/>
        </w:rPr>
        <w:t>：昆明市西山区人民医院（昆明市西山区益宁路与西苑浦路交叉口）。</w:t>
      </w:r>
    </w:p>
    <w:p w14:paraId="4B9F8A94">
      <w:pPr>
        <w:pStyle w:val="11"/>
        <w:numPr>
          <w:numId w:val="0"/>
        </w:numPr>
        <w:topLinePunct w:val="0"/>
        <w:ind w:left="638" w:leftChars="304" w:firstLine="283" w:firstLineChars="92"/>
        <w:rPr>
          <w:rFonts w:hint="default" w:cs="Times New Roman"/>
          <w:sz w:val="32"/>
          <w:lang w:val="en-US" w:eastAsia="zh-CN"/>
        </w:rPr>
      </w:pPr>
      <w:r>
        <w:rPr>
          <w:rStyle w:val="17"/>
          <w:rFonts w:hint="eastAsia" w:eastAsia="楷体_GB2312"/>
          <w:lang w:eastAsia="zh-CN"/>
        </w:rPr>
        <w:t>（二）</w:t>
      </w:r>
      <w:r>
        <w:rPr>
          <w:rStyle w:val="17"/>
        </w:rPr>
        <w:t>人数</w:t>
      </w:r>
      <w:r>
        <w:rPr>
          <w:rFonts w:ascii="仿宋_GB2312" w:hAnsi="仿宋_GB2312" w:eastAsia="仿宋_GB2312" w:cs="Times New Roman"/>
          <w:sz w:val="32"/>
        </w:rPr>
        <w:t>：</w:t>
      </w:r>
      <w:r>
        <w:rPr>
          <w:rFonts w:hint="eastAsia" w:cs="Times New Roman"/>
          <w:sz w:val="32"/>
          <w:lang w:val="en-US" w:eastAsia="zh-CN"/>
        </w:rPr>
        <w:t>医师160</w:t>
      </w:r>
      <w:r>
        <w:rPr>
          <w:rFonts w:ascii="仿宋_GB2312" w:hAnsi="仿宋_GB2312" w:eastAsia="仿宋_GB2312" w:cs="Times New Roman"/>
          <w:sz w:val="32"/>
        </w:rPr>
        <w:t>人</w:t>
      </w:r>
      <w:r>
        <w:rPr>
          <w:rFonts w:hint="eastAsia" w:cs="Times New Roman"/>
          <w:sz w:val="32"/>
          <w:lang w:eastAsia="zh-CN"/>
        </w:rPr>
        <w:t>；</w:t>
      </w:r>
      <w:r>
        <w:rPr>
          <w:rFonts w:hint="eastAsia" w:cs="Times New Roman"/>
          <w:sz w:val="32"/>
          <w:lang w:val="en-US" w:eastAsia="zh-CN"/>
        </w:rPr>
        <w:t>医技、检验、药剂等46人。</w:t>
      </w:r>
      <w:bookmarkStart w:id="10" w:name="_GoBack"/>
      <w:bookmarkEnd w:id="10"/>
    </w:p>
    <w:p w14:paraId="3FE5F9F9">
      <w:pPr>
        <w:pStyle w:val="11"/>
        <w:numPr>
          <w:numId w:val="0"/>
        </w:numPr>
        <w:topLinePunct w:val="0"/>
        <w:ind w:firstLine="616" w:firstLineChars="200"/>
        <w:rPr>
          <w:rFonts w:hint="eastAsia" w:ascii="楷体_GB2312" w:hAnsi="楷体_GB2312" w:eastAsia="仿宋_GB2312" w:cs="楷体_GB2312"/>
          <w:b w:val="0"/>
          <w:sz w:val="32"/>
          <w:bdr w:val="none" w:sz="0" w:space="0"/>
          <w:lang w:eastAsia="zh-CN"/>
        </w:rPr>
      </w:pPr>
      <w:r>
        <w:rPr>
          <w:rFonts w:hint="eastAsia" w:cs="Times New Roman"/>
          <w:sz w:val="32"/>
          <w:lang w:val="en-US" w:eastAsia="zh-CN"/>
        </w:rPr>
        <w:t>备注：因工作性质原因，以上统计人员无法同时间参加同场活动</w:t>
      </w:r>
    </w:p>
    <w:p w14:paraId="232492D4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bdr w:val="none" w:sz="0" w:space="0"/>
        </w:rPr>
      </w:pPr>
      <w:r>
        <w:rPr>
          <w:rStyle w:val="17"/>
          <w:rFonts w:hint="eastAsia" w:eastAsia="楷体_GB2312"/>
          <w:lang w:eastAsia="zh-CN"/>
        </w:rPr>
        <w:t>（三）</w:t>
      </w:r>
      <w:r>
        <w:rPr>
          <w:rStyle w:val="17"/>
        </w:rPr>
        <w:t>费用上限</w:t>
      </w:r>
      <w:r>
        <w:rPr>
          <w:rFonts w:ascii="仿宋_GB2312" w:hAnsi="仿宋_GB2312" w:eastAsia="仿宋_GB2312" w:cs="Times New Roman"/>
          <w:sz w:val="32"/>
        </w:rPr>
        <w:t>：总费用上限不超过人民币30，000.00（叁万元整）。</w:t>
      </w:r>
    </w:p>
    <w:p w14:paraId="43ADAFAD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2" w:name="heading_2"/>
      <w:r>
        <w:rPr>
          <w:rFonts w:hint="eastAsia"/>
          <w:lang w:eastAsia="zh-CN"/>
        </w:rPr>
        <w:t>三、</w:t>
      </w:r>
      <w:r>
        <w:t>服务内容及要求（包含但不限于以下几点）</w:t>
      </w:r>
      <w:bookmarkEnd w:id="2"/>
    </w:p>
    <w:p w14:paraId="1CB47F82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/>
          <w:sz w:val="32"/>
          <w:bdr w:val="none" w:sz="0" w:space="0"/>
        </w:rPr>
      </w:pPr>
      <w:bookmarkStart w:id="3" w:name="heading_3"/>
      <w:r>
        <w:rPr>
          <w:rFonts w:hint="eastAsia" w:cs="Times New Roman"/>
          <w:b/>
          <w:sz w:val="32"/>
          <w:lang w:eastAsia="zh-CN"/>
        </w:rPr>
        <w:t>（一）</w:t>
      </w:r>
      <w:r>
        <w:rPr>
          <w:rFonts w:hint="eastAsia" w:ascii="仿宋" w:hAnsi="仿宋" w:eastAsia="仿宋" w:cs="仿宋"/>
          <w:b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b/>
          <w:sz w:val="32"/>
        </w:rPr>
        <w:t>策划活动内容：</w:t>
      </w:r>
      <w:bookmarkEnd w:id="3"/>
    </w:p>
    <w:p w14:paraId="469F05B7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sz w:val="32"/>
          <w:bdr w:val="none" w:sz="0" w:space="0"/>
        </w:rPr>
      </w:pPr>
      <w:r>
        <w:rPr>
          <w:rFonts w:hint="eastAsia" w:cs="Times New Roman"/>
          <w:sz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2"/>
        </w:rPr>
        <w:t>设计并提出具有创意性、参与性和行业特色的医师节活动方案，结合医师职业特点，设计贴合医疗行业场景的活动形式，包括但不限于专业技能交流研讨、医师风采展示、趣味团建活动、职业感悟分享会、公益义诊宣传联动等。</w:t>
      </w:r>
    </w:p>
    <w:p w14:paraId="44EAE0F5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sz w:val="32"/>
          <w:bdr w:val="none" w:sz="0" w:space="0"/>
        </w:rPr>
      </w:pPr>
      <w:r>
        <w:rPr>
          <w:rFonts w:hint="eastAsia" w:cs="Times New Roman"/>
          <w:sz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2"/>
        </w:rPr>
        <w:t>活动方案需充分考虑医师的工作特性、工作节奏和兴趣偏好，兼顾专业性与趣味性，确保活动能够调动医师的参与积极性，同时凸显医师节的主题内涵，达到凝聚团队、弘扬职业精神的活动目的，保障活动的吸引力和实效性。</w:t>
      </w:r>
    </w:p>
    <w:p w14:paraId="0D3D7A4D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/>
          <w:sz w:val="32"/>
          <w:bdr w:val="none" w:sz="0" w:space="0"/>
        </w:rPr>
      </w:pPr>
      <w:bookmarkStart w:id="4" w:name="heading_4"/>
      <w:r>
        <w:rPr>
          <w:rFonts w:hint="eastAsia" w:cs="Times New Roman"/>
          <w:b/>
          <w:sz w:val="32"/>
          <w:lang w:eastAsia="zh-CN"/>
        </w:rPr>
        <w:t>（二）</w:t>
      </w:r>
      <w:r>
        <w:rPr>
          <w:rFonts w:hint="eastAsia" w:ascii="仿宋" w:hAnsi="仿宋" w:eastAsia="仿宋" w:cs="仿宋"/>
          <w:b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b/>
          <w:sz w:val="32"/>
        </w:rPr>
        <w:t>落地实施：</w:t>
      </w:r>
      <w:bookmarkEnd w:id="4"/>
    </w:p>
    <w:p w14:paraId="79832421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sz w:val="32"/>
          <w:bdr w:val="none" w:sz="0" w:space="0"/>
        </w:rPr>
      </w:pPr>
      <w:r>
        <w:rPr>
          <w:rFonts w:hint="eastAsia" w:cs="Times New Roman"/>
          <w:sz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2"/>
        </w:rPr>
        <w:t>负责活动的整体组织、协调和执行工作，制定详细的活动执行流程</w:t>
      </w:r>
      <w:r>
        <w:rPr>
          <w:rFonts w:hint="eastAsia" w:cs="Times New Roman"/>
          <w:sz w:val="32"/>
          <w:lang w:eastAsia="zh-CN"/>
        </w:rPr>
        <w:t>、</w:t>
      </w:r>
      <w:r>
        <w:rPr>
          <w:rFonts w:hint="eastAsia" w:cs="Times New Roman"/>
          <w:sz w:val="32"/>
          <w:lang w:val="en-US" w:eastAsia="zh-CN"/>
        </w:rPr>
        <w:t>方案或</w:t>
      </w:r>
      <w:r>
        <w:rPr>
          <w:rFonts w:ascii="仿宋_GB2312" w:hAnsi="仿宋_GB2312" w:eastAsia="仿宋_GB2312" w:cs="Times New Roman"/>
          <w:sz w:val="32"/>
        </w:rPr>
        <w:t>预案，安排专人对接医院相关部门，确保活动按计划有序、顺利开展，及时处理活动过程中出现的各类问题。</w:t>
      </w:r>
    </w:p>
    <w:p w14:paraId="66F99882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sz w:val="32"/>
          <w:bdr w:val="none" w:sz="0" w:space="0"/>
        </w:rPr>
      </w:pPr>
      <w:r>
        <w:rPr>
          <w:rFonts w:hint="eastAsia" w:cs="Times New Roman"/>
          <w:sz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2"/>
        </w:rPr>
        <w:t>提供必要的场地布置、氛围营造、物料准备等服务，结合医师节主题设计活动现场装饰、背景板、宣传物料等，打造庄重又温馨的节日氛围，凸显医师职业的神圣与光荣。</w:t>
      </w:r>
    </w:p>
    <w:p w14:paraId="038C81A1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sz w:val="32"/>
          <w:bdr w:val="none" w:sz="0" w:space="0"/>
        </w:rPr>
      </w:pPr>
      <w:r>
        <w:rPr>
          <w:rFonts w:hint="eastAsia" w:cs="Times New Roman"/>
          <w:sz w:val="32"/>
          <w:lang w:eastAsia="zh-CN"/>
        </w:rPr>
        <w:t>（三）</w:t>
      </w:r>
      <w:r>
        <w:rPr>
          <w:rFonts w:hint="eastAsia" w:ascii="仿宋" w:hAnsi="仿宋" w:eastAsia="仿宋" w:cs="仿宋"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2"/>
        </w:rPr>
        <w:t>费用包含该项目的场地费、场地布置费、活动物料费、人员劳务费、交通费、宣传制作费等与活动策划执行相关的所有费用，报价方需明确各项费用明细，不得额外收取其他费用。</w:t>
      </w:r>
    </w:p>
    <w:p w14:paraId="27C8F3F5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5" w:name="heading_5"/>
      <w:r>
        <w:rPr>
          <w:rFonts w:hint="eastAsia"/>
          <w:lang w:eastAsia="zh-CN"/>
        </w:rPr>
        <w:t>四、</w:t>
      </w:r>
      <w:r>
        <w:t>公司资质要求</w:t>
      </w:r>
      <w:bookmarkEnd w:id="5"/>
    </w:p>
    <w:p w14:paraId="7B7B8B7A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sz w:val="32"/>
          <w:bdr w:val="none" w:sz="0" w:space="0"/>
        </w:rPr>
      </w:pPr>
      <w:r>
        <w:rPr>
          <w:rFonts w:hint="eastAsia" w:cs="Times New Roman"/>
          <w:sz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2"/>
        </w:rPr>
        <w:t>必须是具有合法经营资格的活动策划与执行公司，具备相关行业的营业执照、税务登记证等合法经营资质，经营范围包含活动策划、组织执行等相关业务。</w:t>
      </w:r>
    </w:p>
    <w:p w14:paraId="01215954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sz w:val="32"/>
          <w:bdr w:val="none" w:sz="0" w:space="0"/>
        </w:rPr>
      </w:pPr>
      <w:r>
        <w:rPr>
          <w:rFonts w:hint="eastAsia" w:cs="Times New Roman"/>
          <w:sz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2"/>
        </w:rPr>
        <w:t>有成功举办医疗卫生行业相关活动（如医师节、护士节、医院团建等）的经验和案例，能够提供近2－3年内类似规模活动的成功案例证明（如活动方案、现场照片、客户评价等），具备良好的客户服务意识和完善的售后保障机制。</w:t>
      </w:r>
    </w:p>
    <w:p w14:paraId="242A8BC7">
      <w:pPr>
        <w:pStyle w:val="11"/>
        <w:numPr>
          <w:numId w:val="0"/>
        </w:numPr>
        <w:ind w:left="0" w:leftChars="0" w:firstLine="616"/>
        <w:rPr>
          <w:rFonts w:ascii="仿宋_GB2312" w:hAnsi="仿宋_GB2312" w:eastAsia="仿宋_GB2312" w:cs="Times New Roman"/>
          <w:b w:val="0"/>
          <w:sz w:val="32"/>
          <w:bdr w:val="none" w:sz="0" w:space="0"/>
        </w:rPr>
      </w:pPr>
      <w:r>
        <w:rPr>
          <w:rFonts w:hint="eastAsia" w:cs="Times New Roman"/>
          <w:sz w:val="32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lang w:eastAsia="zh-CN"/>
        </w:rPr>
        <w:t xml:space="preserve"> </w:t>
      </w:r>
      <w:r>
        <w:rPr>
          <w:rFonts w:ascii="仿宋_GB2312" w:hAnsi="仿宋_GB2312" w:eastAsia="仿宋_GB2312" w:cs="Times New Roman"/>
          <w:sz w:val="32"/>
        </w:rPr>
        <w:t>具备专业的策划团队和执行团队，团队成员需熟悉医疗卫生行业特点，能够结合医师职业属性设计贴合主题的活动内容，具备较强的创意能力、组织协调能力和现场执行能力，确保活动的创意性和实施效果符合医院要求。</w:t>
      </w:r>
    </w:p>
    <w:p w14:paraId="388ABD5E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6" w:name="heading_6"/>
      <w:r>
        <w:rPr>
          <w:rFonts w:hint="eastAsia"/>
          <w:lang w:eastAsia="zh-CN"/>
        </w:rPr>
        <w:t>五、</w:t>
      </w:r>
      <w:r>
        <w:t>投递要求</w:t>
      </w:r>
      <w:bookmarkEnd w:id="6"/>
    </w:p>
    <w:p w14:paraId="0F52D785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bdr w:val="none" w:sz="0" w:space="0"/>
        </w:rPr>
      </w:pPr>
      <w:r>
        <w:rPr>
          <w:rStyle w:val="17"/>
          <w:rFonts w:hint="eastAsia" w:eastAsia="楷体_GB2312"/>
          <w:lang w:eastAsia="zh-CN"/>
        </w:rPr>
        <w:t>（一）</w:t>
      </w:r>
      <w:r>
        <w:rPr>
          <w:rStyle w:val="17"/>
        </w:rPr>
        <w:t>收取地点</w:t>
      </w:r>
      <w:r>
        <w:rPr>
          <w:rFonts w:ascii="仿宋_GB2312" w:hAnsi="仿宋_GB2312" w:eastAsia="仿宋_GB2312" w:cs="Times New Roman"/>
          <w:sz w:val="32"/>
        </w:rPr>
        <w:t>：昆明市西山区人民医院</w:t>
      </w:r>
      <w:r>
        <w:rPr>
          <w:rFonts w:hint="eastAsia" w:cs="Times New Roman"/>
          <w:sz w:val="32"/>
          <w:lang w:val="en-US" w:eastAsia="zh-CN"/>
        </w:rPr>
        <w:t>门诊</w:t>
      </w:r>
      <w:r>
        <w:rPr>
          <w:rFonts w:ascii="仿宋_GB2312" w:hAnsi="仿宋_GB2312" w:eastAsia="仿宋_GB2312" w:cs="Times New Roman"/>
          <w:sz w:val="32"/>
        </w:rPr>
        <w:t>行政办公楼四楼40</w:t>
      </w:r>
      <w:r>
        <w:rPr>
          <w:rFonts w:hint="eastAsia" w:cs="Times New Roman"/>
          <w:sz w:val="32"/>
          <w:lang w:val="en-US" w:eastAsia="zh-CN"/>
        </w:rPr>
        <w:t>55</w:t>
      </w:r>
      <w:r>
        <w:rPr>
          <w:rFonts w:ascii="仿宋_GB2312" w:hAnsi="仿宋_GB2312" w:eastAsia="仿宋_GB2312" w:cs="Times New Roman"/>
          <w:sz w:val="32"/>
        </w:rPr>
        <w:t>室（医务</w:t>
      </w:r>
      <w:r>
        <w:rPr>
          <w:rFonts w:hint="eastAsia" w:cs="Times New Roman"/>
          <w:sz w:val="32"/>
          <w:lang w:val="en-US" w:eastAsia="zh-CN"/>
        </w:rPr>
        <w:t>部</w:t>
      </w:r>
      <w:r>
        <w:rPr>
          <w:rFonts w:ascii="仿宋_GB2312" w:hAnsi="仿宋_GB2312" w:eastAsia="仿宋_GB2312" w:cs="Times New Roman"/>
          <w:sz w:val="32"/>
        </w:rPr>
        <w:t>）。</w:t>
      </w:r>
    </w:p>
    <w:p w14:paraId="52D3C050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bdr w:val="none" w:sz="0" w:space="0"/>
        </w:rPr>
      </w:pPr>
      <w:r>
        <w:rPr>
          <w:rStyle w:val="17"/>
          <w:rFonts w:hint="eastAsia" w:eastAsia="楷体_GB2312"/>
          <w:lang w:eastAsia="zh-CN"/>
        </w:rPr>
        <w:t>（二）</w:t>
      </w:r>
      <w:r>
        <w:rPr>
          <w:rStyle w:val="17"/>
        </w:rPr>
        <w:t>截止时间</w:t>
      </w:r>
      <w:r>
        <w:rPr>
          <w:rFonts w:ascii="仿宋_GB2312" w:hAnsi="仿宋_GB2312" w:eastAsia="仿宋_GB2312" w:cs="Times New Roman"/>
          <w:sz w:val="32"/>
        </w:rPr>
        <w:t>：请于2026年7月2</w:t>
      </w:r>
      <w:r>
        <w:rPr>
          <w:rFonts w:hint="eastAsia" w:cs="Times New Roman"/>
          <w:sz w:val="32"/>
          <w:lang w:val="en-US" w:eastAsia="zh-CN"/>
        </w:rPr>
        <w:t>4</w:t>
      </w:r>
      <w:r>
        <w:rPr>
          <w:rFonts w:ascii="仿宋_GB2312" w:hAnsi="仿宋_GB2312" w:eastAsia="仿宋_GB2312" w:cs="Times New Roman"/>
          <w:sz w:val="32"/>
        </w:rPr>
        <w:t>日下午1</w:t>
      </w:r>
      <w:r>
        <w:rPr>
          <w:rFonts w:hint="eastAsia" w:cs="Times New Roman"/>
          <w:sz w:val="32"/>
          <w:lang w:val="en-US" w:eastAsia="zh-CN"/>
        </w:rPr>
        <w:t>2</w:t>
      </w:r>
      <w:r>
        <w:rPr>
          <w:rFonts w:ascii="仿宋_GB2312" w:hAnsi="仿宋_GB2312" w:eastAsia="仿宋_GB2312" w:cs="Times New Roman"/>
          <w:sz w:val="32"/>
        </w:rPr>
        <w:t>:00前提交活动方案、报价函等相关文件，逾期提交的文件将不予受理。</w:t>
      </w:r>
    </w:p>
    <w:p w14:paraId="64C0389C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bdr w:val="none" w:sz="0" w:space="0"/>
        </w:rPr>
      </w:pPr>
      <w:r>
        <w:rPr>
          <w:rStyle w:val="17"/>
          <w:rFonts w:hint="eastAsia" w:eastAsia="楷体_GB2312"/>
          <w:lang w:eastAsia="zh-CN"/>
        </w:rPr>
        <w:t>（三）</w:t>
      </w:r>
      <w:r>
        <w:rPr>
          <w:rStyle w:val="17"/>
        </w:rPr>
        <w:t>联系人</w:t>
      </w:r>
      <w:r>
        <w:rPr>
          <w:rFonts w:ascii="仿宋_GB2312" w:hAnsi="仿宋_GB2312" w:eastAsia="仿宋_GB2312" w:cs="Times New Roman"/>
          <w:sz w:val="32"/>
        </w:rPr>
        <w:t>：</w:t>
      </w:r>
      <w:r>
        <w:rPr>
          <w:rFonts w:hint="eastAsia" w:cs="Times New Roman"/>
          <w:sz w:val="32"/>
          <w:lang w:val="en-US" w:eastAsia="zh-CN"/>
        </w:rPr>
        <w:t>陈</w:t>
      </w:r>
      <w:r>
        <w:rPr>
          <w:rFonts w:ascii="仿宋_GB2312" w:hAnsi="仿宋_GB2312" w:eastAsia="仿宋_GB2312" w:cs="Times New Roman"/>
          <w:sz w:val="32"/>
        </w:rPr>
        <w:t>老师  电话：0871－681</w:t>
      </w:r>
      <w:r>
        <w:rPr>
          <w:rFonts w:hint="eastAsia" w:cs="Times New Roman"/>
          <w:sz w:val="32"/>
          <w:lang w:val="en-US" w:eastAsia="zh-CN"/>
        </w:rPr>
        <w:t>82819</w:t>
      </w:r>
      <w:r>
        <w:rPr>
          <w:rFonts w:ascii="仿宋_GB2312" w:hAnsi="仿宋_GB2312" w:eastAsia="仿宋_GB2312" w:cs="Times New Roman"/>
          <w:sz w:val="32"/>
        </w:rPr>
        <w:t>。</w:t>
      </w:r>
    </w:p>
    <w:p w14:paraId="1A708AEC">
      <w:pPr>
        <w:pStyle w:val="2"/>
        <w:numPr>
          <w:numId w:val="0"/>
        </w:numPr>
        <w:topLinePunct w:val="0"/>
        <w:ind w:left="0" w:leftChars="0" w:firstLine="640"/>
        <w:rPr>
          <w:b w:val="0"/>
          <w:bdr w:val="none" w:sz="0" w:space="0"/>
        </w:rPr>
      </w:pPr>
      <w:bookmarkStart w:id="7" w:name="heading_7"/>
      <w:r>
        <w:rPr>
          <w:rFonts w:hint="eastAsia"/>
          <w:lang w:eastAsia="zh-CN"/>
        </w:rPr>
        <w:t>六、</w:t>
      </w:r>
      <w:r>
        <w:t>其他重要事项</w:t>
      </w:r>
      <w:bookmarkEnd w:id="7"/>
    </w:p>
    <w:p w14:paraId="2296D6A3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bdr w:val="none" w:sz="0" w:space="0"/>
        </w:rPr>
      </w:pPr>
      <w:r>
        <w:rPr>
          <w:rStyle w:val="17"/>
          <w:rFonts w:hint="eastAsia" w:eastAsia="楷体_GB2312"/>
          <w:lang w:eastAsia="zh-CN"/>
        </w:rPr>
        <w:t>（一）</w:t>
      </w:r>
      <w:r>
        <w:rPr>
          <w:rStyle w:val="17"/>
        </w:rPr>
        <w:t>报价函文件应包含但不限于公司资质证明（营业执照、税务登记证等复印件并加盖公章）、活动策划方案（含活动主题、流程、内容设计、执行团队配置等）、详细预算报价单（含各项费用明细、总价）、以往成功案例介绍（含医疗卫生行业活动案例）等内容</w:t>
      </w:r>
      <w:r>
        <w:rPr>
          <w:rFonts w:ascii="仿宋_GB2312" w:hAnsi="仿宋_GB2312" w:eastAsia="仿宋_GB2312" w:cs="Times New Roman"/>
          <w:sz w:val="32"/>
        </w:rPr>
        <w:t>。请报价公司认真准备，确保报价函文件的完整性、准确性和规范性，所有提交文件需加盖公司公章。</w:t>
      </w:r>
    </w:p>
    <w:p w14:paraId="34A721FD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bdr w:val="none" w:sz="0" w:space="0"/>
        </w:rPr>
      </w:pPr>
      <w:r>
        <w:rPr>
          <w:rStyle w:val="17"/>
          <w:rFonts w:hint="eastAsia" w:eastAsia="楷体_GB2312"/>
          <w:lang w:eastAsia="zh-CN"/>
        </w:rPr>
        <w:t>（二）</w:t>
      </w:r>
      <w:r>
        <w:rPr>
          <w:rStyle w:val="17"/>
        </w:rPr>
        <w:t>监管机制</w:t>
      </w:r>
      <w:r>
        <w:rPr>
          <w:rFonts w:ascii="仿宋_GB2312" w:hAnsi="仿宋_GB2312" w:eastAsia="仿宋_GB2312" w:cs="Times New Roman"/>
          <w:sz w:val="32"/>
        </w:rPr>
        <w:t>：本次征询活动全程接受医院纪委的严格监督与管理，确保活动征询过程公平、公正、公开。如有任何疑问或投诉，请直接联系医院纪委办公室，地址位于昆明市西山区人民医院4楼4036室。</w:t>
      </w:r>
    </w:p>
    <w:p w14:paraId="638C4B41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bdr w:val="none" w:sz="0" w:space="0"/>
        </w:rPr>
      </w:pPr>
      <w:r>
        <w:rPr>
          <w:rStyle w:val="17"/>
          <w:rFonts w:hint="eastAsia" w:eastAsia="楷体_GB2312"/>
          <w:lang w:eastAsia="zh-CN"/>
        </w:rPr>
        <w:t>（三）</w:t>
      </w:r>
      <w:r>
        <w:rPr>
          <w:rStyle w:val="17"/>
        </w:rPr>
        <w:t>征询与招投标关系</w:t>
      </w:r>
      <w:r>
        <w:rPr>
          <w:rFonts w:ascii="仿宋_GB2312" w:hAnsi="仿宋_GB2312" w:eastAsia="仿宋_GB2312" w:cs="Times New Roman"/>
          <w:sz w:val="32"/>
        </w:rPr>
        <w:t>：特此声明，本次征询活动仅用于收集相关活动策划思路、执行方案及市场价格信息，为医院后续开展相关活动提供参考，与后期可能开展的招投标工作无直接关联，医院不承诺本次征询的</w:t>
      </w:r>
      <w:r>
        <w:rPr>
          <w:rFonts w:hint="eastAsia" w:cs="Times New Roman"/>
          <w:sz w:val="32"/>
          <w:lang w:val="en-US" w:eastAsia="zh-CN"/>
        </w:rPr>
        <w:t>采纳方案供应</w:t>
      </w:r>
      <w:r>
        <w:rPr>
          <w:rFonts w:ascii="仿宋_GB2312" w:hAnsi="仿宋_GB2312" w:eastAsia="仿宋_GB2312" w:cs="Times New Roman"/>
          <w:sz w:val="32"/>
        </w:rPr>
        <w:t>方直接获得后续项目合作资格。</w:t>
      </w:r>
    </w:p>
    <w:p w14:paraId="37F0034E">
      <w:pPr>
        <w:pStyle w:val="11"/>
        <w:numPr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bdr w:val="none" w:sz="0" w:space="0"/>
        </w:rPr>
      </w:pPr>
      <w:r>
        <w:rPr>
          <w:rStyle w:val="17"/>
          <w:rFonts w:hint="eastAsia" w:eastAsia="楷体_GB2312"/>
          <w:lang w:eastAsia="zh-CN"/>
        </w:rPr>
        <w:t>（四）</w:t>
      </w:r>
      <w:r>
        <w:rPr>
          <w:rStyle w:val="17"/>
        </w:rPr>
        <w:t>解释权归属</w:t>
      </w:r>
      <w:r>
        <w:rPr>
          <w:rFonts w:ascii="仿宋_GB2312" w:hAnsi="仿宋_GB2312" w:eastAsia="仿宋_GB2312" w:cs="Times New Roman"/>
          <w:sz w:val="32"/>
        </w:rPr>
        <w:t>：昆明市西山区人民医院保留对本公告内容的最终解释权。如有任何未尽事宜或需进一步说明之处，请随时与我们联系。</w:t>
      </w:r>
    </w:p>
    <w:p w14:paraId="7849ECF5">
      <w:pPr>
        <w:pStyle w:val="11"/>
        <w:bidi w:val="0"/>
        <w:rPr>
          <w:rFonts w:hint="eastAsia"/>
          <w:lang w:val="en-US" w:eastAsia="zh-CN"/>
        </w:rPr>
      </w:pPr>
      <w:bookmarkStart w:id="8" w:name="_IssueUnitSignatures1"/>
      <w:r>
        <w:rPr>
          <w:rFonts w:hint="eastAsia"/>
          <w:kern w:val="0"/>
          <w:szCs w:val="32"/>
          <w:lang w:val="en-US" w:eastAsia="zh-CN"/>
        </w:rPr>
        <w:br w:type="page"/>
      </w:r>
    </w:p>
    <w:p w14:paraId="0CFB6B18">
      <w:pPr>
        <w:pStyle w:val="11"/>
        <w:bidi w:val="0"/>
        <w:rPr>
          <w:rFonts w:hint="eastAsia"/>
          <w:lang w:val="en-US" w:eastAsia="zh-CN"/>
        </w:rPr>
      </w:pPr>
    </w:p>
    <w:p w14:paraId="11482084">
      <w:pPr>
        <w:pStyle w:val="11"/>
        <w:bidi w:val="0"/>
        <w:rPr>
          <w:rFonts w:hint="eastAsia"/>
          <w:lang w:val="en-US" w:eastAsia="zh-CN"/>
        </w:rPr>
      </w:pPr>
      <w:r>
        <w:rPr>
          <w:rFonts w:hint="eastAsia"/>
          <w:kern w:val="0"/>
          <w:szCs w:val="32"/>
          <w:lang w:val="en-US" w:eastAsia="zh-CN"/>
        </w:rPr>
        <w:t>（此页无正文）</w:t>
      </w:r>
    </w:p>
    <w:p w14:paraId="57D76A67">
      <w:pPr>
        <w:pStyle w:val="11"/>
        <w:bidi w:val="0"/>
        <w:rPr>
          <w:rFonts w:hint="eastAsia"/>
          <w:lang w:val="en-US" w:eastAsia="zh-CN"/>
        </w:rPr>
      </w:pPr>
    </w:p>
    <w:p w14:paraId="1B1F55A5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5258" w:leftChars="0" w:right="420" w:rightChars="200" w:firstLine="0" w:firstLineChars="0"/>
        <w:jc w:val="distribute"/>
        <w:textAlignment w:val="auto"/>
        <w:rPr>
          <w:rFonts w:hint="eastAsia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发文机关署名_1" hidden="0" print="1" readonly="0" index="200"/>
        </mc:Choice>
      </mc:AlternateContent>
      <w:r>
        <w:rPr>
          <w:rFonts w:hint="eastAsia"/>
          <w:kern w:val="0"/>
          <w:sz w:val="32"/>
          <w:szCs w:val="32"/>
          <w:lang w:val="en-US" w:eastAsia="zh-CN"/>
        </w:rPr>
        <w:t>昆明市西山区人民医院</w:t>
      </w:r>
      <w:bookmarkEnd w:id="8"/>
      <mc:AlternateContent>
        <mc:Choice Requires="wpsCustomData">
          <wpsCustomData:docfieldEnd id="0"/>
        </mc:Choice>
      </mc:AlternateContent>
    </w:p>
    <w:p w14:paraId="58F47792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5887" w:leftChars="0" w:right="0" w:rightChars="0" w:firstLine="0" w:firstLineChars="0"/>
        <w:jc w:val="left"/>
        <w:textAlignment w:val="auto"/>
        <w:rPr>
          <w:rFonts w:hint="eastAsia"/>
          <w:sz w:val="32"/>
          <w:szCs w:val="32"/>
          <w:lang w:val="en-US" w:eastAsia="zh-CN"/>
        </w:rPr>
      </w:pPr>
      <w:bookmarkStart w:id="9" w:name="_IssueDate"/>
      <mc:AlternateContent>
        <mc:Choice Requires="wpsCustomData">
          <wpsCustomData:docfieldStart id="1" docfieldname="成文日期_1" hidden="0" print="1" readonly="0" index="190"/>
        </mc:Choice>
      </mc:AlternateContent>
      <w:r>
        <w:rPr>
          <w:rFonts w:hint="eastAsia"/>
          <w:sz w:val="32"/>
          <w:szCs w:val="32"/>
          <w:lang w:val="en-US" w:eastAsia="zh-CN"/>
        </w:rPr>
        <w:t>2026年7月21日</w:t>
      </w:r>
      <mc:AlternateContent>
        <mc:Choice Requires="wpsCustomData">
          <wpsCustomData:docfieldEnd id="1"/>
        </mc:Choice>
      </mc:AlternateContent>
      <w:bookmarkEnd w:id="9"/>
    </w:p>
    <w:p w14:paraId="6EF9EFD1">
      <w:pPr>
        <w:pStyle w:val="11"/>
        <w:rPr>
          <w:rFonts w:ascii="仿宋_GB2312" w:hAnsi="仿宋_GB2312" w:eastAsia="仿宋_GB2312" w:cs="Times New Roman"/>
          <w:sz w:val="32"/>
        </w:rPr>
      </w:pPr>
    </w:p>
    <w:sectPr>
      <w:headerReference r:id="rId3" w:type="default"/>
      <w:footerReference r:id="rId4" w:type="default"/>
      <w:pgSz w:w="11905" w:h="16840"/>
      <w:pgMar w:top="2098" w:right="1474" w:bottom="1984" w:left="1587" w:header="851" w:footer="1049" w:gutter="0"/>
      <w:pgNumType w:fmt="decimal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WZT-EN">
    <w:panose1 w:val="02000000000000000000"/>
    <w:charset w:val="86"/>
    <w:family w:val="auto"/>
    <w:pitch w:val="default"/>
    <w:sig w:usb0="0000000F" w:usb1="28810000" w:usb2="00000000" w:usb3="00000000" w:csb0="001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20FB8">
    <w:pPr>
      <w:spacing w:line="471" w:lineRule="auto"/>
      <w:rPr>
        <w:rFonts w:hint="eastAsia" w:ascii="仿宋_GB2312" w:hAnsi="仿宋_GB2312" w:eastAsia="仿宋_GB2312" w:cs="仿宋_GB2312"/>
        <w:sz w:val="28"/>
      </w:rPr>
    </w:pPr>
    <w:r>
      <w:rPr>
        <w:sz w:val="28"/>
      </w:rPr>
      <w:pict>
        <v:shape id="_x0000_s2049" o:spid="_x0000_s2049" o:spt="202" type="#_x0000_t202" style="position:absolute;left:0pt;margin-top:-0.5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1.25pt"/>
          <v:imagedata o:title=""/>
          <o:lock v:ext="edit" aspectratio="f"/>
          <v:textbox inset="15.8759842519685pt,0mm,15.8759842519685pt,0mm" style="mso-fit-shape-to-text:t;">
            <w:txbxContent>
              <w:p w14:paraId="6FF36646">
                <w:pPr>
                  <w:pStyle w:val="12"/>
                  <w:rPr>
                    <w:rFonts w:hint="eastAsia" w:ascii="GWZT-EN" w:hAnsi="GWZT-EN" w:eastAsia="GWZT-EN" w:cs="GWZT-EN"/>
                    <w:b w:val="0"/>
                    <w:bCs w:val="0"/>
                    <w:sz w:val="28"/>
                  </w:rPr>
                </w:pPr>
                <w:r>
                  <w:rPr>
                    <w:rFonts w:hint="eastAsia" w:ascii="GWZT-EN" w:hAnsi="GWZT-EN" w:eastAsia="GWZT-EN" w:cs="GWZT-EN"/>
                    <w:b w:val="0"/>
                    <w:bCs w:val="0"/>
                    <w:sz w:val="28"/>
                  </w:rPr>
                  <w:t>—</w:t>
                </w:r>
                <w:r>
                  <w:rPr>
                    <w:rFonts w:hint="eastAsia" w:ascii="GWZT-EN" w:hAnsi="GWZT-EN" w:eastAsia="GWZT-EN" w:cs="GWZT-EN"/>
                    <w:b w:val="0"/>
                    <w:bCs w:val="0"/>
                    <w:sz w:val="24"/>
                  </w:rPr>
                  <w:t>　</w:t>
                </w:r>
                <w:r>
                  <w:rPr>
                    <w:rFonts w:hint="eastAsia" w:ascii="GWZT-EN" w:hAnsi="GWZT-EN" w:eastAsia="GWZT-EN" w:cs="GWZT-EN"/>
                    <w:b w:val="0"/>
                    <w:bCs w:val="0"/>
                    <w:sz w:val="28"/>
                  </w:rPr>
                  <w:fldChar w:fldCharType="begin"/>
                </w:r>
                <w:r>
                  <w:rPr>
                    <w:rFonts w:hint="eastAsia" w:ascii="GWZT-EN" w:hAnsi="GWZT-EN" w:eastAsia="GWZT-EN" w:cs="GWZT-EN"/>
                    <w:b w:val="0"/>
                    <w:bCs w:val="0"/>
                    <w:sz w:val="28"/>
                  </w:rPr>
                  <w:instrText xml:space="preserve"> PAGE  \* MERGEFORMAT </w:instrText>
                </w:r>
                <w:r>
                  <w:rPr>
                    <w:rFonts w:hint="eastAsia" w:ascii="GWZT-EN" w:hAnsi="GWZT-EN" w:eastAsia="GWZT-EN" w:cs="GWZT-EN"/>
                    <w:b w:val="0"/>
                    <w:bCs w:val="0"/>
                    <w:sz w:val="28"/>
                  </w:rPr>
                  <w:fldChar w:fldCharType="separate"/>
                </w:r>
                <w:r>
                  <w:rPr>
                    <w:rFonts w:hint="eastAsia" w:ascii="GWZT-EN" w:hAnsi="GWZT-EN" w:eastAsia="GWZT-EN" w:cs="GWZT-EN"/>
                    <w:b w:val="0"/>
                    <w:bCs w:val="0"/>
                    <w:sz w:val="28"/>
                  </w:rPr>
                  <w:t>1</w:t>
                </w:r>
                <w:r>
                  <w:rPr>
                    <w:rFonts w:hint="eastAsia" w:ascii="GWZT-EN" w:hAnsi="GWZT-EN" w:eastAsia="GWZT-EN" w:cs="GWZT-EN"/>
                    <w:b w:val="0"/>
                    <w:bCs w:val="0"/>
                    <w:sz w:val="28"/>
                  </w:rPr>
                  <w:fldChar w:fldCharType="end"/>
                </w:r>
                <w:r>
                  <w:rPr>
                    <w:rFonts w:hint="eastAsia" w:ascii="GWZT-EN" w:hAnsi="GWZT-EN" w:eastAsia="GWZT-EN" w:cs="GWZT-EN"/>
                    <w:b w:val="0"/>
                    <w:bCs w:val="0"/>
                    <w:sz w:val="24"/>
                  </w:rPr>
                  <w:t>　</w:t>
                </w:r>
                <w:r>
                  <w:rPr>
                    <w:rFonts w:hint="eastAsia" w:ascii="GWZT-EN" w:hAnsi="GWZT-EN" w:eastAsia="GWZT-EN" w:cs="GWZT-EN"/>
                    <w:b w:val="0"/>
                    <w:bCs w:val="0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CC1E9">
    <w:pPr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rawingGridHorizontalSpacing w:val="158"/>
  <w:drawingGridVerticalSpacing w:val="290"/>
  <w:displayHorizontalDrawingGridEvery w:val="2"/>
  <w:displayVerticalDrawingGridEvery w:val="2"/>
  <w:hdrShapeDefaults>
    <o:shapelayout v:ext="edit">
      <o:idmap v:ext="edit" data="2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0E992CF7"/>
    <w:rsid w:val="0F68089E"/>
    <w:rsid w:val="1CCB2BC8"/>
    <w:rsid w:val="3DC76F84"/>
    <w:rsid w:val="3E641F6D"/>
    <w:rsid w:val="4545710C"/>
    <w:rsid w:val="5B3F5F54"/>
    <w:rsid w:val="62B47227"/>
    <w:rsid w:val="67672ABA"/>
    <w:rsid w:val="6A2700E8"/>
    <w:rsid w:val="777122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link w:val="1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6">
    <w:name w:val="Default Paragraph Font"/>
    <w:semiHidden/>
    <w:uiPriority w:val="0"/>
  </w:style>
  <w:style w:type="table" w:default="1" w:styleId="1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28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楷体_GB2312" w:hAnsi="楷体_GB2312" w:eastAsia="楷体_GB2312" w:cs="Times New Roman"/>
      <w:kern w:val="28"/>
      <w:sz w:val="32"/>
      <w:szCs w:val="32"/>
    </w:rPr>
  </w:style>
  <w:style w:type="paragraph" w:styleId="14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character" w:customStyle="1" w:styleId="17">
    <w:name w:val="标题 2 Char"/>
    <w:link w:val="3"/>
    <w:uiPriority w:val="0"/>
    <w:rPr>
      <w:rFonts w:ascii="楷体_GB2312" w:hAnsi="楷体_GB2312" w:eastAsia="楷体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1679</Words>
  <Characters>1742</Characters>
  <TotalTime>16</TotalTime>
  <ScaleCrop>false</ScaleCrop>
  <LinksUpToDate>false</LinksUpToDate>
  <CharactersWithSpaces>1763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2026-07-21T07:39:00Z</dcterms:created>
  <dc:creator>Apache POI</dc:creator>
  <cp:lastModifiedBy>Bin</cp:lastModifiedBy>
  <dcterms:modified xsi:type="dcterms:W3CDTF">2026-07-21T08:08:03Z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{"Label":"1","ContentProducer":"001191110102MACQD9K64010000","ProduceID":"7664882659690400730","ReservedCode1":"","ContentPropagator":"","PropagateID":"","ReservedCode2":""}</vt:lpwstr>
  </property>
  <property fmtid="{D5CDD505-2E9C-101B-9397-08002B2CF9AE}" pid="3" name="KSOTemplateDocerSaveRecord">
    <vt:lpwstr>eyJoZGlkIjoiYmY1NWNjOTRjOWVkYWI3N2RiYThjN2JhMzQ1ZDMxZGUiLCJ1c2VySWQiOiIxMDY2MTQ1Mzc1In0=</vt:lpwstr>
  </property>
  <property fmtid="{D5CDD505-2E9C-101B-9397-08002B2CF9AE}" pid="4" name="KSOProductBuildVer">
    <vt:lpwstr>2052-12.1.0.26895</vt:lpwstr>
  </property>
  <property fmtid="{D5CDD505-2E9C-101B-9397-08002B2CF9AE}" pid="5" name="ICV">
    <vt:lpwstr>40A710F5DFDF411E9C528BEEAFCC9A87_12</vt:lpwstr>
  </property>
</Properties>
</file>